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B23C16" w:rsidRDefault="00B23C16" w:rsidP="00B23C16">
      <w:pPr>
        <w:pStyle w:val="Heading1"/>
        <w:spacing w:before="0" w:after="120" w:line="276" w:lineRule="auto"/>
        <w:rPr>
          <w:rFonts w:ascii="Verdana" w:hAnsi="Verdana"/>
          <w:b w:val="0"/>
          <w:color w:val="183850" w:themeColor="text1"/>
          <w:sz w:val="34"/>
          <w:szCs w:val="34"/>
        </w:rPr>
      </w:pPr>
      <w:r w:rsidRPr="00B23C16">
        <w:rPr>
          <w:rFonts w:ascii="Verdana" w:hAnsi="Verdana"/>
          <w:b w:val="0"/>
          <w:color w:val="183850" w:themeColor="text1"/>
          <w:sz w:val="34"/>
          <w:szCs w:val="34"/>
        </w:rPr>
        <w:t>LOCAL PEN</w:t>
      </w:r>
      <w:r w:rsidR="006C742E" w:rsidRPr="00B23C16">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197BA3" w:rsidTr="00506F9B">
        <w:tc>
          <w:tcPr>
            <w:tcW w:w="5353" w:type="dxa"/>
          </w:tcPr>
          <w:p w:rsidR="00197BA3" w:rsidRDefault="00197BA3" w:rsidP="00506F9B">
            <w:pPr>
              <w:rPr>
                <w:rFonts w:ascii="Verdana" w:hAnsi="Verdana"/>
                <w:b/>
                <w:bCs/>
                <w:iCs/>
                <w:sz w:val="28"/>
              </w:rPr>
            </w:pPr>
            <w:r>
              <w:rPr>
                <w:rFonts w:ascii="Verdana" w:hAnsi="Verdana"/>
                <w:b/>
                <w:bCs/>
                <w:iCs/>
                <w:sz w:val="28"/>
              </w:rPr>
              <w:t>Lancashire County Pension Fund</w:t>
            </w:r>
          </w:p>
        </w:tc>
        <w:tc>
          <w:tcPr>
            <w:tcW w:w="4428" w:type="dxa"/>
          </w:tcPr>
          <w:p w:rsidR="00197BA3" w:rsidRDefault="00197BA3" w:rsidP="00506F9B">
            <w:pPr>
              <w:rPr>
                <w:rFonts w:ascii="Verdana" w:hAnsi="Verdana"/>
                <w:b/>
                <w:bCs/>
                <w:iCs/>
                <w:sz w:val="28"/>
              </w:rPr>
            </w:pPr>
          </w:p>
        </w:tc>
      </w:tr>
      <w:tr w:rsidR="00197BA3" w:rsidTr="00506F9B">
        <w:tc>
          <w:tcPr>
            <w:tcW w:w="9781" w:type="dxa"/>
            <w:gridSpan w:val="2"/>
          </w:tcPr>
          <w:p w:rsidR="00197BA3" w:rsidRPr="00F42967" w:rsidRDefault="00197BA3" w:rsidP="00506F9B">
            <w:pPr>
              <w:rPr>
                <w:rFonts w:ascii="Verdana" w:hAnsi="Verdana"/>
                <w:b/>
                <w:bCs/>
                <w:iCs/>
                <w:sz w:val="24"/>
              </w:rPr>
            </w:pPr>
          </w:p>
        </w:tc>
      </w:tr>
      <w:tr w:rsidR="00197BA3" w:rsidTr="00506F9B">
        <w:tc>
          <w:tcPr>
            <w:tcW w:w="5353" w:type="dxa"/>
          </w:tcPr>
          <w:p w:rsidR="00197BA3" w:rsidRDefault="00197BA3" w:rsidP="00506F9B">
            <w:pPr>
              <w:rPr>
                <w:rFonts w:ascii="Verdana" w:hAnsi="Verdana"/>
                <w:b/>
                <w:bCs/>
                <w:iCs/>
                <w:sz w:val="28"/>
              </w:rPr>
            </w:pPr>
            <w:r>
              <w:rPr>
                <w:rFonts w:ascii="Verdana" w:hAnsi="Verdana"/>
                <w:b/>
                <w:bCs/>
                <w:iCs/>
                <w:sz w:val="28"/>
              </w:rPr>
              <w:t>Pension Fund Committee</w:t>
            </w:r>
          </w:p>
        </w:tc>
        <w:tc>
          <w:tcPr>
            <w:tcW w:w="4428" w:type="dxa"/>
          </w:tcPr>
          <w:p w:rsidR="00197BA3" w:rsidRPr="00F42967" w:rsidRDefault="00197BA3" w:rsidP="00201AB8">
            <w:pPr>
              <w:jc w:val="right"/>
              <w:rPr>
                <w:rFonts w:ascii="Verdana" w:hAnsi="Verdana"/>
                <w:b/>
                <w:bCs/>
                <w:iCs/>
                <w:sz w:val="24"/>
              </w:rPr>
            </w:pPr>
            <w:r>
              <w:rPr>
                <w:rFonts w:ascii="Verdana" w:hAnsi="Verdana"/>
                <w:b/>
                <w:bCs/>
                <w:iCs/>
                <w:sz w:val="24"/>
              </w:rPr>
              <w:t>1</w:t>
            </w:r>
            <w:r w:rsidR="00201AB8">
              <w:rPr>
                <w:rFonts w:ascii="Verdana" w:hAnsi="Verdana"/>
                <w:b/>
                <w:bCs/>
                <w:iCs/>
                <w:sz w:val="24"/>
              </w:rPr>
              <w:t>5</w:t>
            </w:r>
            <w:r>
              <w:rPr>
                <w:rFonts w:ascii="Verdana" w:hAnsi="Verdana"/>
                <w:b/>
                <w:bCs/>
                <w:iCs/>
                <w:sz w:val="24"/>
              </w:rPr>
              <w:t xml:space="preserve"> September 2016</w:t>
            </w:r>
          </w:p>
        </w:tc>
      </w:tr>
      <w:tr w:rsidR="00197BA3" w:rsidTr="00506F9B">
        <w:tc>
          <w:tcPr>
            <w:tcW w:w="5353" w:type="dxa"/>
          </w:tcPr>
          <w:p w:rsidR="00197BA3" w:rsidRPr="00F2518C" w:rsidRDefault="00197BA3" w:rsidP="00506F9B">
            <w:pPr>
              <w:rPr>
                <w:rFonts w:ascii="Verdana" w:hAnsi="Verdana"/>
                <w:b/>
                <w:bCs/>
                <w:iCs/>
                <w:sz w:val="24"/>
                <w:szCs w:val="24"/>
              </w:rPr>
            </w:pPr>
            <w:r w:rsidRPr="00F2518C">
              <w:rPr>
                <w:rFonts w:ascii="Verdana" w:hAnsi="Verdana"/>
                <w:b/>
                <w:bCs/>
                <w:iCs/>
                <w:sz w:val="24"/>
                <w:szCs w:val="24"/>
              </w:rPr>
              <w:t>Responsible Investment Report</w:t>
            </w:r>
          </w:p>
        </w:tc>
        <w:tc>
          <w:tcPr>
            <w:tcW w:w="4428" w:type="dxa"/>
          </w:tcPr>
          <w:p w:rsidR="00197BA3" w:rsidRPr="00F2518C" w:rsidRDefault="00197BA3" w:rsidP="00506F9B">
            <w:pPr>
              <w:jc w:val="right"/>
              <w:rPr>
                <w:rFonts w:ascii="Verdana" w:hAnsi="Verdana"/>
                <w:b/>
                <w:bCs/>
                <w:iCs/>
                <w:sz w:val="24"/>
                <w:szCs w:val="24"/>
              </w:rPr>
            </w:pPr>
            <w:r w:rsidRPr="00F2518C">
              <w:rPr>
                <w:rFonts w:ascii="Verdana" w:hAnsi="Verdana"/>
                <w:b/>
                <w:bCs/>
                <w:iCs/>
                <w:sz w:val="24"/>
                <w:szCs w:val="24"/>
              </w:rPr>
              <w:t xml:space="preserve">Appendix </w:t>
            </w:r>
            <w:r>
              <w:rPr>
                <w:rFonts w:ascii="Verdana" w:hAnsi="Verdana"/>
                <w:b/>
                <w:bCs/>
                <w:iCs/>
                <w:sz w:val="24"/>
                <w:szCs w:val="24"/>
              </w:rPr>
              <w:t>A</w:t>
            </w:r>
          </w:p>
        </w:tc>
      </w:tr>
    </w:tbl>
    <w:p w:rsidR="00197BA3" w:rsidRPr="007D1376" w:rsidRDefault="00197BA3" w:rsidP="00197BA3">
      <w:pPr>
        <w:rPr>
          <w:rFonts w:ascii="Verdana" w:hAnsi="Verdana"/>
          <w:bCs/>
          <w:iCs/>
        </w:rPr>
      </w:pPr>
      <w:r w:rsidRPr="007D1376">
        <w:rPr>
          <w:rFonts w:ascii="Verdana" w:hAnsi="Verdana"/>
          <w:bCs/>
          <w:iCs/>
        </w:rPr>
        <w:tab/>
      </w:r>
      <w:r w:rsidRPr="007D1376">
        <w:rPr>
          <w:rFonts w:ascii="Verdana" w:hAnsi="Verdana"/>
          <w:bCs/>
          <w:iCs/>
        </w:rPr>
        <w:tab/>
      </w:r>
      <w:r w:rsidRPr="007D1376">
        <w:rPr>
          <w:rFonts w:ascii="Verdana" w:hAnsi="Verdana"/>
          <w:bCs/>
          <w:iCs/>
        </w:rPr>
        <w:tab/>
        <w:t xml:space="preserve"> </w:t>
      </w:r>
      <w:r w:rsidRPr="007D1376">
        <w:rPr>
          <w:rFonts w:ascii="Verdana" w:hAnsi="Verdana"/>
          <w:bCs/>
          <w:iCs/>
        </w:rPr>
        <w:tab/>
      </w:r>
      <w:r w:rsidRPr="007D1376">
        <w:rPr>
          <w:rFonts w:ascii="Verdana" w:hAnsi="Verdana"/>
          <w:bCs/>
          <w:iCs/>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197BA3" w:rsidRPr="007A0579" w:rsidTr="00506F9B">
        <w:trPr>
          <w:trHeight w:val="461"/>
        </w:trPr>
        <w:tc>
          <w:tcPr>
            <w:tcW w:w="2523" w:type="dxa"/>
            <w:shd w:val="clear" w:color="auto" w:fill="F2F2F2" w:themeFill="background1" w:themeFillShade="F2"/>
          </w:tcPr>
          <w:p w:rsidR="00197BA3" w:rsidRPr="007A0579" w:rsidRDefault="00197BA3" w:rsidP="00506F9B">
            <w:pPr>
              <w:rPr>
                <w:rFonts w:ascii="Verdana" w:hAnsi="Verdana"/>
                <w:b/>
                <w:bCs/>
                <w:iCs/>
                <w:sz w:val="20"/>
                <w:szCs w:val="20"/>
              </w:rPr>
            </w:pPr>
            <w:r w:rsidRPr="007A0579">
              <w:rPr>
                <w:rFonts w:ascii="Verdana" w:hAnsi="Verdana"/>
                <w:b/>
                <w:bCs/>
                <w:iCs/>
                <w:sz w:val="20"/>
                <w:szCs w:val="20"/>
              </w:rPr>
              <w:t>Title</w:t>
            </w:r>
            <w:r>
              <w:rPr>
                <w:rFonts w:ascii="Verdana" w:hAnsi="Verdana"/>
                <w:b/>
                <w:bCs/>
                <w:iCs/>
                <w:sz w:val="20"/>
                <w:szCs w:val="20"/>
              </w:rPr>
              <w:t xml:space="preserve"> of P</w:t>
            </w:r>
            <w:r w:rsidRPr="007A0579">
              <w:rPr>
                <w:rFonts w:ascii="Verdana" w:hAnsi="Verdana"/>
                <w:b/>
                <w:bCs/>
                <w:iCs/>
                <w:sz w:val="20"/>
                <w:szCs w:val="20"/>
              </w:rPr>
              <w:t>aper</w:t>
            </w:r>
          </w:p>
        </w:tc>
        <w:tc>
          <w:tcPr>
            <w:tcW w:w="7229" w:type="dxa"/>
          </w:tcPr>
          <w:p w:rsidR="00197BA3" w:rsidRPr="007A0579" w:rsidRDefault="00197BA3" w:rsidP="00506F9B">
            <w:pPr>
              <w:rPr>
                <w:rFonts w:ascii="Verdana" w:hAnsi="Verdana"/>
                <w:bCs/>
                <w:iCs/>
                <w:sz w:val="20"/>
                <w:szCs w:val="20"/>
              </w:rPr>
            </w:pPr>
            <w:r w:rsidRPr="007A0579">
              <w:rPr>
                <w:rFonts w:ascii="Verdana" w:hAnsi="Verdana"/>
                <w:bCs/>
                <w:iCs/>
                <w:sz w:val="20"/>
                <w:szCs w:val="20"/>
              </w:rPr>
              <w:t>Quarterly Report on Responsible Investment</w:t>
            </w:r>
          </w:p>
        </w:tc>
      </w:tr>
      <w:tr w:rsidR="00197BA3" w:rsidRPr="007A0579" w:rsidTr="00506F9B">
        <w:trPr>
          <w:trHeight w:val="632"/>
        </w:trPr>
        <w:tc>
          <w:tcPr>
            <w:tcW w:w="2523" w:type="dxa"/>
            <w:shd w:val="clear" w:color="auto" w:fill="F2F2F2" w:themeFill="background1" w:themeFillShade="F2"/>
          </w:tcPr>
          <w:p w:rsidR="00197BA3" w:rsidRPr="007A0579" w:rsidRDefault="00197BA3" w:rsidP="00506F9B">
            <w:pPr>
              <w:rPr>
                <w:rFonts w:ascii="Verdana" w:hAnsi="Verdana"/>
                <w:b/>
                <w:bCs/>
                <w:iCs/>
                <w:sz w:val="20"/>
                <w:szCs w:val="20"/>
              </w:rPr>
            </w:pPr>
            <w:r w:rsidRPr="007A0579">
              <w:rPr>
                <w:rFonts w:ascii="Verdana" w:hAnsi="Verdana"/>
                <w:b/>
                <w:bCs/>
                <w:iCs/>
                <w:sz w:val="20"/>
                <w:szCs w:val="20"/>
              </w:rPr>
              <w:t>Lead Officer:</w:t>
            </w:r>
          </w:p>
        </w:tc>
        <w:tc>
          <w:tcPr>
            <w:tcW w:w="7229" w:type="dxa"/>
          </w:tcPr>
          <w:p w:rsidR="00197BA3" w:rsidRPr="007A0579" w:rsidRDefault="00197BA3" w:rsidP="00506F9B">
            <w:pPr>
              <w:rPr>
                <w:rFonts w:ascii="Verdana" w:hAnsi="Verdana"/>
                <w:bCs/>
                <w:iCs/>
                <w:sz w:val="20"/>
                <w:szCs w:val="20"/>
              </w:rPr>
            </w:pPr>
            <w:r w:rsidRPr="007A0579">
              <w:rPr>
                <w:rFonts w:ascii="Verdana" w:hAnsi="Verdana"/>
                <w:bCs/>
                <w:iCs/>
                <w:sz w:val="20"/>
                <w:szCs w:val="20"/>
              </w:rPr>
              <w:t xml:space="preserve">Frances Deakin </w:t>
            </w:r>
          </w:p>
          <w:p w:rsidR="00197BA3" w:rsidRPr="007A0579" w:rsidRDefault="00197BA3" w:rsidP="00506F9B">
            <w:pPr>
              <w:rPr>
                <w:rFonts w:ascii="Verdana" w:hAnsi="Verdana"/>
                <w:bCs/>
                <w:iCs/>
                <w:sz w:val="20"/>
                <w:szCs w:val="20"/>
              </w:rPr>
            </w:pPr>
            <w:r w:rsidRPr="007A0579">
              <w:rPr>
                <w:rFonts w:ascii="Verdana" w:hAnsi="Verdana"/>
                <w:bCs/>
                <w:iCs/>
                <w:sz w:val="20"/>
                <w:szCs w:val="20"/>
              </w:rPr>
              <w:t>Responsible Investment Officer</w:t>
            </w:r>
          </w:p>
          <w:p w:rsidR="00197BA3" w:rsidRPr="007A0579" w:rsidRDefault="00197BA3" w:rsidP="00506F9B">
            <w:pPr>
              <w:rPr>
                <w:rFonts w:ascii="Verdana" w:hAnsi="Verdana"/>
                <w:bCs/>
                <w:iCs/>
                <w:sz w:val="20"/>
                <w:szCs w:val="20"/>
              </w:rPr>
            </w:pPr>
            <w:r w:rsidRPr="007A0579">
              <w:rPr>
                <w:rFonts w:ascii="Verdana" w:hAnsi="Verdana"/>
                <w:bCs/>
                <w:iCs/>
                <w:sz w:val="20"/>
                <w:szCs w:val="20"/>
              </w:rPr>
              <w:t xml:space="preserve">Local Pensions Partnership Investments Ltd </w:t>
            </w:r>
          </w:p>
          <w:p w:rsidR="00197BA3" w:rsidRDefault="00201AB8" w:rsidP="00506F9B">
            <w:pPr>
              <w:rPr>
                <w:rFonts w:ascii="Verdana" w:hAnsi="Verdana"/>
                <w:bCs/>
                <w:iCs/>
                <w:sz w:val="20"/>
                <w:szCs w:val="20"/>
              </w:rPr>
            </w:pPr>
            <w:hyperlink r:id="rId8" w:history="1">
              <w:r w:rsidR="00197BA3" w:rsidRPr="00D560F3">
                <w:rPr>
                  <w:rStyle w:val="Hyperlink"/>
                  <w:rFonts w:ascii="Verdana" w:hAnsi="Verdana"/>
                  <w:bCs/>
                  <w:iCs/>
                  <w:sz w:val="20"/>
                  <w:szCs w:val="20"/>
                </w:rPr>
                <w:t>frances.deakin@localpensionspartnership.org.uk</w:t>
              </w:r>
            </w:hyperlink>
          </w:p>
          <w:p w:rsidR="00197BA3" w:rsidRPr="007A0579" w:rsidRDefault="00197BA3" w:rsidP="00506F9B">
            <w:pPr>
              <w:rPr>
                <w:rFonts w:ascii="Verdana" w:hAnsi="Verdana"/>
                <w:bCs/>
                <w:iCs/>
                <w:sz w:val="20"/>
                <w:szCs w:val="20"/>
              </w:rPr>
            </w:pPr>
          </w:p>
        </w:tc>
      </w:tr>
      <w:tr w:rsidR="00197BA3" w:rsidRPr="007A0579" w:rsidTr="00506F9B">
        <w:trPr>
          <w:trHeight w:val="456"/>
        </w:trPr>
        <w:tc>
          <w:tcPr>
            <w:tcW w:w="2523" w:type="dxa"/>
            <w:shd w:val="clear" w:color="auto" w:fill="F2F2F2" w:themeFill="background1" w:themeFillShade="F2"/>
          </w:tcPr>
          <w:p w:rsidR="00197BA3" w:rsidRPr="007A0579" w:rsidRDefault="00197BA3" w:rsidP="00506F9B">
            <w:pPr>
              <w:rPr>
                <w:rFonts w:ascii="Verdana" w:hAnsi="Verdana"/>
                <w:b/>
                <w:bCs/>
                <w:iCs/>
                <w:sz w:val="20"/>
                <w:szCs w:val="20"/>
              </w:rPr>
            </w:pPr>
            <w:r w:rsidRPr="007A0579">
              <w:rPr>
                <w:rFonts w:ascii="Verdana" w:hAnsi="Verdana"/>
                <w:b/>
                <w:bCs/>
                <w:iCs/>
                <w:sz w:val="20"/>
                <w:szCs w:val="20"/>
              </w:rPr>
              <w:t>A</w:t>
            </w:r>
            <w:r>
              <w:rPr>
                <w:rFonts w:ascii="Verdana" w:hAnsi="Verdana"/>
                <w:b/>
                <w:bCs/>
                <w:iCs/>
                <w:sz w:val="20"/>
                <w:szCs w:val="20"/>
              </w:rPr>
              <w:t>ppendices</w:t>
            </w:r>
            <w:r w:rsidRPr="007A0579">
              <w:rPr>
                <w:rFonts w:ascii="Verdana" w:hAnsi="Verdana"/>
                <w:b/>
                <w:bCs/>
                <w:iCs/>
                <w:sz w:val="20"/>
                <w:szCs w:val="20"/>
              </w:rPr>
              <w:t xml:space="preserve"> </w:t>
            </w:r>
          </w:p>
        </w:tc>
        <w:tc>
          <w:tcPr>
            <w:tcW w:w="7229" w:type="dxa"/>
          </w:tcPr>
          <w:p w:rsidR="000819F9" w:rsidRDefault="000819F9" w:rsidP="00506F9B">
            <w:pPr>
              <w:rPr>
                <w:rFonts w:ascii="Verdana" w:hAnsi="Verdana"/>
                <w:b/>
                <w:bCs/>
                <w:iCs/>
                <w:sz w:val="20"/>
                <w:szCs w:val="20"/>
              </w:rPr>
            </w:pPr>
            <w:r>
              <w:rPr>
                <w:rFonts w:ascii="Verdana" w:hAnsi="Verdana"/>
                <w:b/>
                <w:bCs/>
                <w:iCs/>
                <w:sz w:val="20"/>
                <w:szCs w:val="20"/>
              </w:rPr>
              <w:t>Appendix 1: LAPFF Quarter 2 Engagement Report</w:t>
            </w:r>
          </w:p>
          <w:p w:rsidR="00197BA3" w:rsidRDefault="000819F9" w:rsidP="00506F9B">
            <w:pPr>
              <w:rPr>
                <w:rFonts w:ascii="Verdana" w:hAnsi="Verdana"/>
                <w:b/>
                <w:bCs/>
                <w:iCs/>
                <w:sz w:val="20"/>
                <w:szCs w:val="20"/>
              </w:rPr>
            </w:pPr>
            <w:r>
              <w:rPr>
                <w:rFonts w:ascii="Verdana" w:hAnsi="Verdana"/>
                <w:b/>
                <w:bCs/>
                <w:iCs/>
                <w:sz w:val="20"/>
                <w:szCs w:val="20"/>
              </w:rPr>
              <w:t>Appendix 2</w:t>
            </w:r>
            <w:r w:rsidR="00197BA3">
              <w:rPr>
                <w:rFonts w:ascii="Verdana" w:hAnsi="Verdana"/>
                <w:b/>
                <w:bCs/>
                <w:iCs/>
                <w:sz w:val="20"/>
                <w:szCs w:val="20"/>
              </w:rPr>
              <w:t>: Q2 201</w:t>
            </w:r>
            <w:r w:rsidR="005443F5">
              <w:rPr>
                <w:rFonts w:ascii="Verdana" w:hAnsi="Verdana"/>
                <w:b/>
                <w:bCs/>
                <w:iCs/>
                <w:sz w:val="20"/>
                <w:szCs w:val="20"/>
              </w:rPr>
              <w:t>6 Litigation Monitoring Report B</w:t>
            </w:r>
            <w:r w:rsidR="00197BA3">
              <w:rPr>
                <w:rFonts w:ascii="Verdana" w:hAnsi="Verdana"/>
                <w:b/>
                <w:bCs/>
                <w:iCs/>
                <w:sz w:val="20"/>
                <w:szCs w:val="20"/>
              </w:rPr>
              <w:t>R&amp;B</w:t>
            </w:r>
          </w:p>
          <w:p w:rsidR="00197BA3" w:rsidRPr="00C6350D" w:rsidRDefault="00197BA3" w:rsidP="00506F9B">
            <w:pPr>
              <w:rPr>
                <w:rFonts w:ascii="Verdana" w:hAnsi="Verdana"/>
                <w:b/>
                <w:bCs/>
                <w:iCs/>
                <w:sz w:val="20"/>
                <w:szCs w:val="20"/>
              </w:rPr>
            </w:pPr>
          </w:p>
        </w:tc>
      </w:tr>
    </w:tbl>
    <w:p w:rsidR="00B22E56" w:rsidRDefault="00B22E56" w:rsidP="00B23C16">
      <w:pPr>
        <w:spacing w:after="0" w:line="240" w:lineRule="auto"/>
        <w:rPr>
          <w:rFonts w:ascii="Verdana" w:hAnsi="Verdana" w:cs="Arial"/>
          <w:bCs/>
          <w:color w:val="2BADEC" w:themeColor="accent1" w:themeShade="BF"/>
          <w:sz w:val="34"/>
          <w:szCs w:val="34"/>
        </w:rPr>
      </w:pPr>
    </w:p>
    <w:p w:rsidR="00B23C16" w:rsidRPr="00B23C16" w:rsidRDefault="00B23C16" w:rsidP="00320885">
      <w:pPr>
        <w:spacing w:after="0" w:line="240" w:lineRule="auto"/>
        <w:rPr>
          <w:rFonts w:ascii="Verdana" w:hAnsi="Verdana" w:cs="Arial"/>
          <w:b/>
          <w:bCs/>
          <w:sz w:val="20"/>
          <w:szCs w:val="20"/>
        </w:rPr>
      </w:pPr>
    </w:p>
    <w:p w:rsidR="00E04E31" w:rsidRDefault="00197BA3" w:rsidP="00572DCB">
      <w:pPr>
        <w:pStyle w:val="treb"/>
        <w:numPr>
          <w:ilvl w:val="0"/>
          <w:numId w:val="46"/>
        </w:numPr>
        <w:spacing w:after="0"/>
        <w:ind w:hanging="720"/>
        <w:rPr>
          <w:rFonts w:ascii="Verdana" w:hAnsi="Verdana"/>
          <w:color w:val="54BBAB" w:themeColor="text2"/>
          <w:sz w:val="20"/>
          <w:szCs w:val="20"/>
        </w:rPr>
      </w:pPr>
      <w:r>
        <w:rPr>
          <w:rFonts w:ascii="Verdana" w:hAnsi="Verdana"/>
          <w:color w:val="54BBAB" w:themeColor="text2"/>
          <w:sz w:val="20"/>
          <w:szCs w:val="20"/>
        </w:rPr>
        <w:t>Executive Summary</w:t>
      </w:r>
    </w:p>
    <w:p w:rsidR="00197BA3" w:rsidRDefault="00197BA3" w:rsidP="00197BA3">
      <w:pPr>
        <w:pStyle w:val="treb"/>
        <w:numPr>
          <w:ilvl w:val="0"/>
          <w:numId w:val="0"/>
        </w:numPr>
        <w:spacing w:after="0"/>
        <w:rPr>
          <w:b w:val="0"/>
        </w:rPr>
      </w:pPr>
    </w:p>
    <w:p w:rsidR="00197BA3" w:rsidRPr="00197BA3" w:rsidRDefault="00197BA3" w:rsidP="00197BA3">
      <w:pPr>
        <w:pStyle w:val="treb"/>
        <w:numPr>
          <w:ilvl w:val="0"/>
          <w:numId w:val="0"/>
        </w:numPr>
        <w:spacing w:after="0"/>
        <w:rPr>
          <w:rFonts w:ascii="Verdana" w:hAnsi="Verdana"/>
          <w:b w:val="0"/>
          <w:sz w:val="20"/>
          <w:szCs w:val="20"/>
        </w:rPr>
      </w:pPr>
      <w:r w:rsidRPr="00197BA3">
        <w:rPr>
          <w:rFonts w:ascii="Verdana" w:hAnsi="Verdana"/>
          <w:b w:val="0"/>
          <w:sz w:val="20"/>
          <w:szCs w:val="20"/>
        </w:rPr>
        <w:t>This report provides members of the Pension Fund Committee of Lancashire County Pension Fund (LCPF) with a quarterly update on Responsible Investment (RI) matters.</w:t>
      </w:r>
    </w:p>
    <w:p w:rsidR="00197BA3" w:rsidRPr="00197BA3" w:rsidRDefault="00197BA3" w:rsidP="00197BA3">
      <w:pPr>
        <w:pStyle w:val="treb"/>
        <w:numPr>
          <w:ilvl w:val="0"/>
          <w:numId w:val="0"/>
        </w:numPr>
        <w:spacing w:after="0"/>
        <w:rPr>
          <w:rFonts w:ascii="Verdana" w:hAnsi="Verdana"/>
          <w:b w:val="0"/>
          <w:color w:val="54BBAB" w:themeColor="text2"/>
          <w:sz w:val="20"/>
          <w:szCs w:val="20"/>
        </w:rPr>
      </w:pPr>
    </w:p>
    <w:p w:rsidR="00320885" w:rsidRPr="00197BA3" w:rsidRDefault="00197BA3" w:rsidP="00572DCB">
      <w:pPr>
        <w:pStyle w:val="treb"/>
        <w:numPr>
          <w:ilvl w:val="0"/>
          <w:numId w:val="46"/>
        </w:numPr>
        <w:spacing w:after="0"/>
        <w:ind w:hanging="720"/>
        <w:rPr>
          <w:rFonts w:ascii="Verdana" w:hAnsi="Verdana"/>
          <w:color w:val="54BBAB" w:themeColor="text2"/>
          <w:sz w:val="20"/>
          <w:szCs w:val="20"/>
        </w:rPr>
      </w:pPr>
      <w:r w:rsidRPr="00197BA3">
        <w:rPr>
          <w:rFonts w:ascii="Verdana" w:hAnsi="Verdana"/>
          <w:color w:val="54BBAB" w:themeColor="text2"/>
          <w:sz w:val="20"/>
          <w:szCs w:val="20"/>
        </w:rPr>
        <w:t>Introduction</w:t>
      </w:r>
    </w:p>
    <w:p w:rsidR="00197BA3" w:rsidRPr="00197BA3" w:rsidRDefault="00197BA3" w:rsidP="00197BA3">
      <w:pPr>
        <w:autoSpaceDE w:val="0"/>
        <w:autoSpaceDN w:val="0"/>
        <w:adjustRightInd w:val="0"/>
        <w:spacing w:after="0"/>
        <w:jc w:val="both"/>
        <w:rPr>
          <w:rFonts w:ascii="Verdana" w:hAnsi="Verdana"/>
          <w:sz w:val="20"/>
          <w:szCs w:val="20"/>
        </w:rPr>
      </w:pPr>
    </w:p>
    <w:p w:rsidR="00197BA3" w:rsidRPr="00197BA3" w:rsidRDefault="00197BA3" w:rsidP="00197BA3">
      <w:pPr>
        <w:autoSpaceDE w:val="0"/>
        <w:autoSpaceDN w:val="0"/>
        <w:adjustRightInd w:val="0"/>
        <w:spacing w:after="0"/>
        <w:jc w:val="both"/>
        <w:rPr>
          <w:rFonts w:ascii="Verdana" w:hAnsi="Verdana" w:cs="TT3BA2o00"/>
          <w:sz w:val="20"/>
          <w:szCs w:val="20"/>
        </w:rPr>
      </w:pPr>
      <w:r w:rsidRPr="00197BA3">
        <w:rPr>
          <w:rFonts w:ascii="Verdana" w:hAnsi="Verdana"/>
          <w:sz w:val="20"/>
          <w:szCs w:val="20"/>
        </w:rPr>
        <w:t xml:space="preserve">The Fund's approach to RI is set out within its Statement of Investment Principles (SIP) which confirms that the objective of RI is to decrease investor risk, improve risk-adjusted returns and </w:t>
      </w:r>
      <w:r w:rsidR="006403C0">
        <w:rPr>
          <w:rFonts w:ascii="Verdana" w:hAnsi="Verdana" w:cs="TT3B97o00"/>
          <w:sz w:val="20"/>
          <w:szCs w:val="20"/>
        </w:rPr>
        <w:t>assist</w:t>
      </w:r>
      <w:r w:rsidRPr="00197BA3">
        <w:rPr>
          <w:rFonts w:ascii="Verdana" w:hAnsi="Verdana" w:cs="TT3B97o00"/>
          <w:sz w:val="20"/>
          <w:szCs w:val="20"/>
        </w:rPr>
        <w:t xml:space="preserve"> the Fund</w:t>
      </w:r>
      <w:r w:rsidR="006403C0">
        <w:rPr>
          <w:rFonts w:ascii="Verdana" w:hAnsi="Verdana" w:cs="TT3B97o00"/>
          <w:sz w:val="20"/>
          <w:szCs w:val="20"/>
        </w:rPr>
        <w:t xml:space="preserve">'s </w:t>
      </w:r>
      <w:r w:rsidRPr="00197BA3">
        <w:rPr>
          <w:rFonts w:ascii="Verdana" w:hAnsi="Verdana" w:cs="TT3B97o00"/>
          <w:sz w:val="20"/>
          <w:szCs w:val="20"/>
        </w:rPr>
        <w:t>adhere</w:t>
      </w:r>
      <w:r w:rsidR="006403C0">
        <w:rPr>
          <w:rFonts w:ascii="Verdana" w:hAnsi="Verdana" w:cs="TT3B97o00"/>
          <w:sz w:val="20"/>
          <w:szCs w:val="20"/>
        </w:rPr>
        <w:t>nce</w:t>
      </w:r>
      <w:r w:rsidRPr="00197BA3">
        <w:rPr>
          <w:rFonts w:ascii="Verdana" w:hAnsi="Verdana" w:cs="TT3B97o00"/>
          <w:sz w:val="20"/>
          <w:szCs w:val="20"/>
        </w:rPr>
        <w:t xml:space="preserve"> to the UK Stewardship Code. </w:t>
      </w:r>
    </w:p>
    <w:p w:rsidR="00197BA3" w:rsidRPr="00197BA3" w:rsidRDefault="00197BA3" w:rsidP="00197BA3">
      <w:pPr>
        <w:autoSpaceDE w:val="0"/>
        <w:autoSpaceDN w:val="0"/>
        <w:adjustRightInd w:val="0"/>
        <w:spacing w:after="0"/>
        <w:jc w:val="both"/>
        <w:rPr>
          <w:rFonts w:ascii="Verdana" w:hAnsi="Verdana" w:cs="TT3B97o00"/>
          <w:sz w:val="20"/>
          <w:szCs w:val="20"/>
        </w:rPr>
      </w:pPr>
    </w:p>
    <w:p w:rsidR="00197BA3" w:rsidRPr="00197BA3" w:rsidRDefault="006403C0" w:rsidP="00197BA3">
      <w:pPr>
        <w:autoSpaceDE w:val="0"/>
        <w:autoSpaceDN w:val="0"/>
        <w:adjustRightInd w:val="0"/>
        <w:spacing w:after="0"/>
        <w:jc w:val="both"/>
        <w:rPr>
          <w:rFonts w:ascii="Verdana" w:hAnsi="Verdana" w:cs="TT3B97o00"/>
          <w:sz w:val="20"/>
          <w:szCs w:val="20"/>
        </w:rPr>
      </w:pPr>
      <w:r>
        <w:rPr>
          <w:rFonts w:ascii="Verdana" w:hAnsi="Verdana" w:cs="TT3B97o00"/>
          <w:sz w:val="20"/>
          <w:szCs w:val="20"/>
        </w:rPr>
        <w:t xml:space="preserve">The </w:t>
      </w:r>
      <w:r w:rsidR="00343C9E">
        <w:rPr>
          <w:rFonts w:ascii="Verdana" w:hAnsi="Verdana" w:cs="TT3B97o00"/>
          <w:sz w:val="20"/>
          <w:szCs w:val="20"/>
        </w:rPr>
        <w:t xml:space="preserve">Fund's </w:t>
      </w:r>
      <w:r>
        <w:rPr>
          <w:rFonts w:ascii="Verdana" w:hAnsi="Verdana" w:cs="TT3B97o00"/>
          <w:sz w:val="20"/>
          <w:szCs w:val="20"/>
        </w:rPr>
        <w:t xml:space="preserve">approach </w:t>
      </w:r>
      <w:r w:rsidR="00343C9E">
        <w:rPr>
          <w:rFonts w:ascii="Verdana" w:hAnsi="Verdana" w:cs="TT3B97o00"/>
          <w:sz w:val="20"/>
          <w:szCs w:val="20"/>
        </w:rPr>
        <w:t xml:space="preserve">to RI </w:t>
      </w:r>
      <w:r w:rsidR="00F83B47">
        <w:rPr>
          <w:rFonts w:ascii="Verdana" w:hAnsi="Verdana" w:cs="TT3B97o00"/>
          <w:sz w:val="20"/>
          <w:szCs w:val="20"/>
        </w:rPr>
        <w:t>encompasses</w:t>
      </w:r>
      <w:r w:rsidR="00197BA3" w:rsidRPr="00197BA3">
        <w:rPr>
          <w:rFonts w:ascii="Verdana" w:hAnsi="Verdana" w:cs="TT3B97o00"/>
          <w:sz w:val="20"/>
          <w:szCs w:val="20"/>
        </w:rPr>
        <w:t xml:space="preserve"> four main areas of activity:</w:t>
      </w:r>
    </w:p>
    <w:p w:rsidR="00197BA3" w:rsidRPr="00197BA3" w:rsidRDefault="00197BA3" w:rsidP="00197BA3">
      <w:pPr>
        <w:autoSpaceDE w:val="0"/>
        <w:autoSpaceDN w:val="0"/>
        <w:adjustRightInd w:val="0"/>
        <w:spacing w:after="0"/>
        <w:jc w:val="both"/>
        <w:rPr>
          <w:rFonts w:ascii="Verdana" w:hAnsi="Verdana" w:cs="TT3BA2o00"/>
          <w:sz w:val="20"/>
          <w:szCs w:val="20"/>
        </w:rPr>
      </w:pPr>
    </w:p>
    <w:p w:rsidR="00197BA3" w:rsidRPr="00197BA3" w:rsidRDefault="00197BA3" w:rsidP="00572DCB">
      <w:pPr>
        <w:pStyle w:val="ListParagraph"/>
        <w:widowControl w:val="0"/>
        <w:numPr>
          <w:ilvl w:val="0"/>
          <w:numId w:val="47"/>
        </w:numPr>
        <w:autoSpaceDE w:val="0"/>
        <w:autoSpaceDN w:val="0"/>
        <w:adjustRightInd w:val="0"/>
        <w:spacing w:after="0" w:line="240" w:lineRule="auto"/>
        <w:ind w:hanging="720"/>
        <w:contextualSpacing w:val="0"/>
        <w:jc w:val="both"/>
        <w:rPr>
          <w:rFonts w:ascii="Verdana" w:hAnsi="Verdana" w:cs="TT3BA2o00"/>
          <w:sz w:val="20"/>
          <w:szCs w:val="20"/>
        </w:rPr>
      </w:pPr>
      <w:r w:rsidRPr="00197BA3">
        <w:rPr>
          <w:rFonts w:ascii="Verdana" w:hAnsi="Verdana" w:cs="TT3BA2o00"/>
          <w:sz w:val="20"/>
          <w:szCs w:val="20"/>
        </w:rPr>
        <w:t>Voting Globally</w:t>
      </w:r>
    </w:p>
    <w:p w:rsidR="00197BA3" w:rsidRPr="00197BA3" w:rsidRDefault="00197BA3" w:rsidP="00572DCB">
      <w:pPr>
        <w:pStyle w:val="ListParagraph"/>
        <w:widowControl w:val="0"/>
        <w:numPr>
          <w:ilvl w:val="0"/>
          <w:numId w:val="47"/>
        </w:numPr>
        <w:autoSpaceDE w:val="0"/>
        <w:autoSpaceDN w:val="0"/>
        <w:adjustRightInd w:val="0"/>
        <w:spacing w:after="0" w:line="240" w:lineRule="auto"/>
        <w:ind w:hanging="720"/>
        <w:contextualSpacing w:val="0"/>
        <w:jc w:val="both"/>
        <w:rPr>
          <w:rFonts w:ascii="Verdana" w:hAnsi="Verdana" w:cs="TT3BA2o00"/>
          <w:sz w:val="20"/>
          <w:szCs w:val="20"/>
        </w:rPr>
      </w:pPr>
      <w:r w:rsidRPr="00197BA3">
        <w:rPr>
          <w:rFonts w:ascii="Verdana" w:hAnsi="Verdana" w:cs="TT3BA2o00"/>
          <w:sz w:val="20"/>
          <w:szCs w:val="20"/>
        </w:rPr>
        <w:t>Engagement through Partnerships</w:t>
      </w:r>
    </w:p>
    <w:p w:rsidR="00197BA3" w:rsidRPr="00197BA3" w:rsidRDefault="00197BA3" w:rsidP="00572DCB">
      <w:pPr>
        <w:pStyle w:val="ListParagraph"/>
        <w:widowControl w:val="0"/>
        <w:numPr>
          <w:ilvl w:val="0"/>
          <w:numId w:val="47"/>
        </w:numPr>
        <w:autoSpaceDE w:val="0"/>
        <w:autoSpaceDN w:val="0"/>
        <w:adjustRightInd w:val="0"/>
        <w:spacing w:after="0" w:line="240" w:lineRule="auto"/>
        <w:ind w:hanging="720"/>
        <w:contextualSpacing w:val="0"/>
        <w:jc w:val="both"/>
        <w:rPr>
          <w:rFonts w:ascii="Verdana" w:hAnsi="Verdana" w:cs="TT3BA2o00"/>
          <w:sz w:val="20"/>
          <w:szCs w:val="20"/>
        </w:rPr>
      </w:pPr>
      <w:r w:rsidRPr="00197BA3">
        <w:rPr>
          <w:rFonts w:ascii="Verdana" w:hAnsi="Verdana" w:cs="TT3BA2o00"/>
          <w:sz w:val="20"/>
          <w:szCs w:val="20"/>
        </w:rPr>
        <w:t>Shareholder Litigation</w:t>
      </w:r>
    </w:p>
    <w:p w:rsidR="00197BA3" w:rsidRPr="00197BA3" w:rsidRDefault="00197BA3" w:rsidP="00572DCB">
      <w:pPr>
        <w:pStyle w:val="ListParagraph"/>
        <w:widowControl w:val="0"/>
        <w:numPr>
          <w:ilvl w:val="0"/>
          <w:numId w:val="47"/>
        </w:numPr>
        <w:autoSpaceDE w:val="0"/>
        <w:autoSpaceDN w:val="0"/>
        <w:adjustRightInd w:val="0"/>
        <w:spacing w:after="0" w:line="240" w:lineRule="auto"/>
        <w:ind w:hanging="720"/>
        <w:contextualSpacing w:val="0"/>
        <w:jc w:val="both"/>
        <w:rPr>
          <w:rFonts w:ascii="Verdana" w:hAnsi="Verdana" w:cs="TT3BA2o00"/>
          <w:sz w:val="20"/>
          <w:szCs w:val="20"/>
        </w:rPr>
      </w:pPr>
      <w:r w:rsidRPr="00197BA3">
        <w:rPr>
          <w:rFonts w:ascii="Verdana" w:hAnsi="Verdana" w:cs="TT3BA2o00"/>
          <w:sz w:val="20"/>
          <w:szCs w:val="20"/>
        </w:rPr>
        <w:t>Active Investing</w:t>
      </w:r>
    </w:p>
    <w:p w:rsidR="006403C0" w:rsidRDefault="006403C0" w:rsidP="00197BA3">
      <w:pPr>
        <w:autoSpaceDE w:val="0"/>
        <w:autoSpaceDN w:val="0"/>
        <w:adjustRightInd w:val="0"/>
        <w:spacing w:after="0"/>
        <w:jc w:val="both"/>
        <w:rPr>
          <w:rFonts w:ascii="Verdana" w:hAnsi="Verdana" w:cs="TT3B97o00"/>
          <w:sz w:val="20"/>
          <w:szCs w:val="20"/>
        </w:rPr>
      </w:pPr>
    </w:p>
    <w:p w:rsidR="00197BA3" w:rsidRDefault="00BA6EB9" w:rsidP="00197BA3">
      <w:pPr>
        <w:autoSpaceDE w:val="0"/>
        <w:autoSpaceDN w:val="0"/>
        <w:adjustRightInd w:val="0"/>
        <w:spacing w:after="0"/>
        <w:jc w:val="both"/>
        <w:rPr>
          <w:rFonts w:ascii="Verdana" w:hAnsi="Verdana" w:cs="TT3BA2o00"/>
          <w:sz w:val="20"/>
          <w:szCs w:val="20"/>
        </w:rPr>
      </w:pPr>
      <w:r>
        <w:rPr>
          <w:rFonts w:ascii="Verdana" w:hAnsi="Verdana" w:cs="TT3B97o00"/>
          <w:sz w:val="20"/>
          <w:szCs w:val="20"/>
        </w:rPr>
        <w:t>Responsibility for t</w:t>
      </w:r>
      <w:r w:rsidR="006403C0">
        <w:rPr>
          <w:rFonts w:ascii="Verdana" w:hAnsi="Verdana" w:cs="TT3B97o00"/>
          <w:sz w:val="20"/>
          <w:szCs w:val="20"/>
        </w:rPr>
        <w:t>he p</w:t>
      </w:r>
      <w:r w:rsidR="006403C0" w:rsidRPr="00197BA3">
        <w:rPr>
          <w:rFonts w:ascii="Verdana" w:hAnsi="Verdana" w:cs="TT3B97o00"/>
          <w:sz w:val="20"/>
          <w:szCs w:val="20"/>
        </w:rPr>
        <w:t>ractical implementation</w:t>
      </w:r>
      <w:r w:rsidR="00343C9E">
        <w:rPr>
          <w:rFonts w:ascii="Verdana" w:hAnsi="Verdana" w:cs="TT3B97o00"/>
          <w:sz w:val="20"/>
          <w:szCs w:val="20"/>
        </w:rPr>
        <w:t xml:space="preserve"> of the Fund's approach to RI is </w:t>
      </w:r>
      <w:r w:rsidR="006403C0" w:rsidRPr="00197BA3">
        <w:rPr>
          <w:rFonts w:ascii="Verdana" w:hAnsi="Verdana" w:cs="TT3B97o00"/>
          <w:sz w:val="20"/>
          <w:szCs w:val="20"/>
        </w:rPr>
        <w:t xml:space="preserve">devolved to LPP </w:t>
      </w:r>
      <w:r w:rsidR="006403C0">
        <w:rPr>
          <w:rFonts w:ascii="Verdana" w:hAnsi="Verdana" w:cs="TT3B97o00"/>
          <w:sz w:val="20"/>
          <w:szCs w:val="20"/>
        </w:rPr>
        <w:t>I as LCPF's provider of investment management services.</w:t>
      </w:r>
      <w:r w:rsidR="00555677">
        <w:rPr>
          <w:rFonts w:ascii="Verdana" w:hAnsi="Verdana" w:cs="TT3B97o00"/>
          <w:sz w:val="20"/>
          <w:szCs w:val="20"/>
        </w:rPr>
        <w:t xml:space="preserve"> The report which follows provides an update on RI activity in the period from 1</w:t>
      </w:r>
      <w:r w:rsidR="00555677" w:rsidRPr="00555677">
        <w:rPr>
          <w:rFonts w:ascii="Verdana" w:hAnsi="Verdana" w:cs="TT3B97o00"/>
          <w:sz w:val="20"/>
          <w:szCs w:val="20"/>
          <w:vertAlign w:val="superscript"/>
        </w:rPr>
        <w:t>st</w:t>
      </w:r>
      <w:r w:rsidR="00555677">
        <w:rPr>
          <w:rFonts w:ascii="Verdana" w:hAnsi="Verdana" w:cs="TT3B97o00"/>
          <w:sz w:val="20"/>
          <w:szCs w:val="20"/>
        </w:rPr>
        <w:t xml:space="preserve"> April to 30</w:t>
      </w:r>
      <w:r w:rsidR="00555677" w:rsidRPr="00555677">
        <w:rPr>
          <w:rFonts w:ascii="Verdana" w:hAnsi="Verdana" w:cs="TT3B97o00"/>
          <w:sz w:val="20"/>
          <w:szCs w:val="20"/>
          <w:vertAlign w:val="superscript"/>
        </w:rPr>
        <w:t>th</w:t>
      </w:r>
      <w:r w:rsidR="00555677">
        <w:rPr>
          <w:rFonts w:ascii="Verdana" w:hAnsi="Verdana" w:cs="TT3B97o00"/>
          <w:sz w:val="20"/>
          <w:szCs w:val="20"/>
        </w:rPr>
        <w:t xml:space="preserve"> June 2016. </w:t>
      </w:r>
    </w:p>
    <w:p w:rsidR="00F83B47" w:rsidRPr="00197BA3" w:rsidRDefault="00F83B47" w:rsidP="00197BA3">
      <w:pPr>
        <w:autoSpaceDE w:val="0"/>
        <w:autoSpaceDN w:val="0"/>
        <w:adjustRightInd w:val="0"/>
        <w:spacing w:after="0"/>
        <w:jc w:val="both"/>
        <w:rPr>
          <w:rFonts w:ascii="Verdana" w:hAnsi="Verdana" w:cs="TT3BA2o00"/>
          <w:sz w:val="20"/>
          <w:szCs w:val="20"/>
        </w:rPr>
      </w:pPr>
    </w:p>
    <w:p w:rsidR="00197BA3" w:rsidRDefault="00197BA3" w:rsidP="00572DCB">
      <w:pPr>
        <w:pStyle w:val="treb"/>
        <w:numPr>
          <w:ilvl w:val="0"/>
          <w:numId w:val="46"/>
        </w:numPr>
        <w:spacing w:after="0"/>
        <w:ind w:hanging="720"/>
        <w:rPr>
          <w:rFonts w:ascii="Verdana" w:hAnsi="Verdana"/>
          <w:color w:val="54BBAB" w:themeColor="text2"/>
          <w:sz w:val="20"/>
          <w:szCs w:val="20"/>
        </w:rPr>
      </w:pPr>
      <w:r w:rsidRPr="00197BA3">
        <w:rPr>
          <w:rFonts w:ascii="Verdana" w:hAnsi="Verdana"/>
          <w:color w:val="54BBAB" w:themeColor="text2"/>
          <w:sz w:val="20"/>
          <w:szCs w:val="20"/>
        </w:rPr>
        <w:t>Voting Globally</w:t>
      </w:r>
    </w:p>
    <w:p w:rsidR="00197BA3" w:rsidRPr="00197BA3" w:rsidRDefault="00197BA3" w:rsidP="00197BA3">
      <w:pPr>
        <w:pStyle w:val="treb"/>
        <w:numPr>
          <w:ilvl w:val="0"/>
          <w:numId w:val="0"/>
        </w:numPr>
        <w:spacing w:after="0"/>
        <w:rPr>
          <w:rFonts w:ascii="Verdana" w:hAnsi="Verdana"/>
          <w:color w:val="54BBAB" w:themeColor="text2"/>
          <w:sz w:val="20"/>
          <w:szCs w:val="20"/>
        </w:rPr>
      </w:pPr>
    </w:p>
    <w:p w:rsidR="00197BA3" w:rsidRPr="00F7731E" w:rsidRDefault="00197BA3" w:rsidP="00197BA3">
      <w:pPr>
        <w:autoSpaceDE w:val="0"/>
        <w:autoSpaceDN w:val="0"/>
        <w:adjustRightInd w:val="0"/>
        <w:spacing w:after="0"/>
        <w:rPr>
          <w:rFonts w:ascii="Verdana" w:hAnsi="Verdana" w:cs="Arial"/>
          <w:sz w:val="20"/>
          <w:szCs w:val="20"/>
        </w:rPr>
      </w:pPr>
      <w:r w:rsidRPr="00F7731E">
        <w:rPr>
          <w:rFonts w:ascii="Verdana" w:hAnsi="Verdana" w:cs="Arial"/>
          <w:sz w:val="20"/>
          <w:szCs w:val="20"/>
        </w:rPr>
        <w:t xml:space="preserve">LCPF owns shares in listed companies across the globe. </w:t>
      </w:r>
      <w:r w:rsidR="00343C9E" w:rsidRPr="00F7731E">
        <w:rPr>
          <w:rFonts w:ascii="Verdana" w:hAnsi="Verdana" w:cs="Arial"/>
          <w:sz w:val="20"/>
          <w:szCs w:val="20"/>
        </w:rPr>
        <w:t>T</w:t>
      </w:r>
      <w:r w:rsidRPr="00F7731E">
        <w:rPr>
          <w:rFonts w:ascii="Verdana" w:hAnsi="Verdana" w:cs="Arial"/>
          <w:sz w:val="20"/>
          <w:szCs w:val="20"/>
        </w:rPr>
        <w:t xml:space="preserve">he Fund </w:t>
      </w:r>
      <w:r w:rsidR="000819F9">
        <w:rPr>
          <w:rFonts w:ascii="Verdana" w:hAnsi="Verdana" w:cs="Arial"/>
          <w:sz w:val="20"/>
          <w:szCs w:val="20"/>
        </w:rPr>
        <w:t>works with</w:t>
      </w:r>
      <w:r w:rsidRPr="00F7731E">
        <w:rPr>
          <w:rFonts w:ascii="Verdana" w:hAnsi="Verdana" w:cs="Arial"/>
          <w:sz w:val="20"/>
          <w:szCs w:val="20"/>
        </w:rPr>
        <w:t xml:space="preserve"> an external provider of </w:t>
      </w:r>
      <w:r w:rsidRPr="00F7731E">
        <w:rPr>
          <w:rFonts w:ascii="Verdana" w:hAnsi="Verdana"/>
          <w:sz w:val="20"/>
          <w:szCs w:val="20"/>
        </w:rPr>
        <w:t>proxy voting and governance services</w:t>
      </w:r>
      <w:r w:rsidR="00343C9E" w:rsidRPr="00F7731E">
        <w:rPr>
          <w:rFonts w:ascii="Verdana" w:hAnsi="Verdana" w:cs="Arial"/>
          <w:sz w:val="20"/>
          <w:szCs w:val="20"/>
        </w:rPr>
        <w:t xml:space="preserve"> to ensure effective and consistent use of the voting rights attached to these assets</w:t>
      </w:r>
      <w:r w:rsidRPr="00F7731E">
        <w:rPr>
          <w:rFonts w:ascii="Verdana" w:hAnsi="Verdana"/>
          <w:sz w:val="20"/>
          <w:szCs w:val="20"/>
        </w:rPr>
        <w:t>. Pensions and Investment Research Consultants Ltd (PIRC)</w:t>
      </w:r>
      <w:r w:rsidRPr="00F7731E">
        <w:rPr>
          <w:rFonts w:ascii="Verdana" w:hAnsi="Verdana" w:cs="Arial"/>
          <w:sz w:val="20"/>
          <w:szCs w:val="20"/>
        </w:rPr>
        <w:t xml:space="preserve"> analyse and apply voting </w:t>
      </w:r>
      <w:r w:rsidRPr="00F7731E">
        <w:rPr>
          <w:rFonts w:ascii="Verdana" w:hAnsi="Verdana" w:cs="Arial"/>
          <w:bCs/>
          <w:sz w:val="20"/>
          <w:szCs w:val="20"/>
        </w:rPr>
        <w:t xml:space="preserve">guidelines to </w:t>
      </w:r>
      <w:r w:rsidRPr="00F7731E">
        <w:rPr>
          <w:rFonts w:ascii="Verdana" w:hAnsi="Verdana" w:cs="Arial"/>
          <w:sz w:val="20"/>
          <w:szCs w:val="20"/>
        </w:rPr>
        <w:t xml:space="preserve">the </w:t>
      </w:r>
      <w:r w:rsidRPr="00F7731E">
        <w:rPr>
          <w:rFonts w:ascii="Verdana" w:hAnsi="Verdana" w:cs="Arial"/>
          <w:bCs/>
          <w:sz w:val="20"/>
          <w:szCs w:val="20"/>
        </w:rPr>
        <w:t xml:space="preserve">resolutions at every </w:t>
      </w:r>
      <w:r w:rsidRPr="00F7731E">
        <w:rPr>
          <w:rFonts w:ascii="Verdana" w:hAnsi="Verdana" w:cs="Arial"/>
          <w:sz w:val="20"/>
          <w:szCs w:val="20"/>
        </w:rPr>
        <w:lastRenderedPageBreak/>
        <w:t xml:space="preserve">shareholder meeting the Fund is entitled to attend and </w:t>
      </w:r>
      <w:r w:rsidR="00F83B47" w:rsidRPr="00F7731E">
        <w:rPr>
          <w:rFonts w:ascii="Verdana" w:hAnsi="Verdana" w:cs="Arial"/>
          <w:sz w:val="20"/>
          <w:szCs w:val="20"/>
        </w:rPr>
        <w:t>oversee</w:t>
      </w:r>
      <w:r w:rsidRPr="00F7731E">
        <w:rPr>
          <w:rFonts w:ascii="Verdana" w:hAnsi="Verdana" w:cs="Arial"/>
          <w:sz w:val="20"/>
          <w:szCs w:val="20"/>
        </w:rPr>
        <w:t xml:space="preserve"> the process of vote execution. </w:t>
      </w:r>
    </w:p>
    <w:p w:rsidR="00197BA3" w:rsidRPr="00F7731E" w:rsidRDefault="00197BA3" w:rsidP="00197BA3">
      <w:pPr>
        <w:autoSpaceDE w:val="0"/>
        <w:autoSpaceDN w:val="0"/>
        <w:adjustRightInd w:val="0"/>
        <w:spacing w:after="0"/>
        <w:rPr>
          <w:rFonts w:ascii="Verdana" w:hAnsi="Verdana" w:cs="Arial"/>
          <w:sz w:val="20"/>
          <w:szCs w:val="20"/>
        </w:rPr>
      </w:pPr>
    </w:p>
    <w:p w:rsidR="00343C9E" w:rsidRPr="00F7731E" w:rsidRDefault="00197BA3" w:rsidP="00197BA3">
      <w:pPr>
        <w:widowControl w:val="0"/>
        <w:spacing w:after="0"/>
        <w:outlineLvl w:val="0"/>
        <w:rPr>
          <w:rFonts w:ascii="Verdana" w:hAnsi="Verdana"/>
          <w:bCs/>
          <w:sz w:val="20"/>
          <w:szCs w:val="20"/>
        </w:rPr>
      </w:pPr>
      <w:r w:rsidRPr="00F7731E">
        <w:rPr>
          <w:rFonts w:ascii="Verdana" w:hAnsi="Verdana" w:cs="Arial"/>
          <w:bCs/>
          <w:sz w:val="20"/>
          <w:szCs w:val="20"/>
        </w:rPr>
        <w:t xml:space="preserve">PIRC provide quarterly reports </w:t>
      </w:r>
      <w:r w:rsidR="00A6170F" w:rsidRPr="00F7731E">
        <w:rPr>
          <w:rFonts w:ascii="Verdana" w:hAnsi="Verdana" w:cs="Arial"/>
          <w:bCs/>
          <w:sz w:val="20"/>
          <w:szCs w:val="20"/>
        </w:rPr>
        <w:t>which include</w:t>
      </w:r>
      <w:r w:rsidRPr="00F7731E">
        <w:rPr>
          <w:rFonts w:ascii="Verdana" w:hAnsi="Verdana" w:cs="Arial"/>
          <w:bCs/>
          <w:sz w:val="20"/>
          <w:szCs w:val="20"/>
        </w:rPr>
        <w:t xml:space="preserve"> a summary of votes cast</w:t>
      </w:r>
      <w:r w:rsidRPr="00F7731E">
        <w:rPr>
          <w:rFonts w:ascii="Verdana" w:hAnsi="Verdana"/>
          <w:bCs/>
          <w:sz w:val="20"/>
          <w:szCs w:val="20"/>
        </w:rPr>
        <w:t xml:space="preserve"> </w:t>
      </w:r>
      <w:r w:rsidR="006403C0" w:rsidRPr="00F7731E">
        <w:rPr>
          <w:rFonts w:ascii="Verdana" w:hAnsi="Verdana"/>
          <w:bCs/>
          <w:sz w:val="20"/>
          <w:szCs w:val="20"/>
        </w:rPr>
        <w:t xml:space="preserve">in the period </w:t>
      </w:r>
      <w:r w:rsidRPr="00F7731E">
        <w:rPr>
          <w:rFonts w:ascii="Verdana" w:hAnsi="Verdana"/>
          <w:bCs/>
          <w:sz w:val="20"/>
          <w:szCs w:val="20"/>
        </w:rPr>
        <w:t>and the outcome of voting (where known). A copy of the most recent report covering the period from 1</w:t>
      </w:r>
      <w:r w:rsidRPr="00F7731E">
        <w:rPr>
          <w:rFonts w:ascii="Verdana" w:hAnsi="Verdana"/>
          <w:bCs/>
          <w:sz w:val="20"/>
          <w:szCs w:val="20"/>
          <w:vertAlign w:val="superscript"/>
        </w:rPr>
        <w:t>st</w:t>
      </w:r>
      <w:r w:rsidRPr="00F7731E">
        <w:rPr>
          <w:rFonts w:ascii="Verdana" w:hAnsi="Verdana"/>
          <w:bCs/>
          <w:sz w:val="20"/>
          <w:szCs w:val="20"/>
        </w:rPr>
        <w:t xml:space="preserve"> April to 30</w:t>
      </w:r>
      <w:r w:rsidRPr="00F7731E">
        <w:rPr>
          <w:rFonts w:ascii="Verdana" w:hAnsi="Verdana"/>
          <w:bCs/>
          <w:sz w:val="20"/>
          <w:szCs w:val="20"/>
          <w:vertAlign w:val="superscript"/>
        </w:rPr>
        <w:t>th</w:t>
      </w:r>
      <w:r w:rsidRPr="00F7731E">
        <w:rPr>
          <w:rFonts w:ascii="Verdana" w:hAnsi="Verdana"/>
          <w:bCs/>
          <w:sz w:val="20"/>
          <w:szCs w:val="20"/>
        </w:rPr>
        <w:t xml:space="preserve"> June 2016 has been placed within the Members Re</w:t>
      </w:r>
      <w:r w:rsidR="00201AB8">
        <w:rPr>
          <w:rFonts w:ascii="Verdana" w:hAnsi="Verdana"/>
          <w:bCs/>
          <w:sz w:val="20"/>
          <w:szCs w:val="20"/>
        </w:rPr>
        <w:t>tiring</w:t>
      </w:r>
      <w:bookmarkStart w:id="0" w:name="_GoBack"/>
      <w:bookmarkEnd w:id="0"/>
      <w:r w:rsidRPr="00F7731E">
        <w:rPr>
          <w:rFonts w:ascii="Verdana" w:hAnsi="Verdana"/>
          <w:bCs/>
          <w:sz w:val="20"/>
          <w:szCs w:val="20"/>
        </w:rPr>
        <w:t xml:space="preserve"> R</w:t>
      </w:r>
      <w:r w:rsidR="00343C9E" w:rsidRPr="00F7731E">
        <w:rPr>
          <w:rFonts w:ascii="Verdana" w:hAnsi="Verdana"/>
          <w:bCs/>
          <w:sz w:val="20"/>
          <w:szCs w:val="20"/>
        </w:rPr>
        <w:t xml:space="preserve">oom for reference. </w:t>
      </w:r>
    </w:p>
    <w:p w:rsidR="00343C9E" w:rsidRPr="00F7731E" w:rsidRDefault="00343C9E" w:rsidP="00197BA3">
      <w:pPr>
        <w:widowControl w:val="0"/>
        <w:spacing w:after="0"/>
        <w:outlineLvl w:val="0"/>
        <w:rPr>
          <w:rFonts w:ascii="Verdana" w:hAnsi="Verdana"/>
          <w:bCs/>
          <w:sz w:val="20"/>
          <w:szCs w:val="20"/>
        </w:rPr>
      </w:pPr>
    </w:p>
    <w:p w:rsidR="00197BA3" w:rsidRPr="00F7731E" w:rsidRDefault="00343C9E" w:rsidP="00197BA3">
      <w:pPr>
        <w:widowControl w:val="0"/>
        <w:spacing w:after="0"/>
        <w:outlineLvl w:val="0"/>
        <w:rPr>
          <w:rFonts w:ascii="Verdana" w:hAnsi="Verdana"/>
          <w:bCs/>
          <w:sz w:val="20"/>
          <w:szCs w:val="20"/>
        </w:rPr>
      </w:pPr>
      <w:r w:rsidRPr="00F7731E">
        <w:rPr>
          <w:rFonts w:ascii="Verdana" w:hAnsi="Verdana"/>
          <w:bCs/>
          <w:sz w:val="20"/>
          <w:szCs w:val="20"/>
        </w:rPr>
        <w:t>D</w:t>
      </w:r>
      <w:r w:rsidR="00197BA3" w:rsidRPr="00F7731E">
        <w:rPr>
          <w:rFonts w:ascii="Verdana" w:hAnsi="Verdana"/>
          <w:bCs/>
          <w:sz w:val="20"/>
          <w:szCs w:val="20"/>
        </w:rPr>
        <w:t>uring the second quarter of 2016 the Fund</w:t>
      </w:r>
      <w:r w:rsidR="00224A7B" w:rsidRPr="00F7731E">
        <w:rPr>
          <w:rFonts w:ascii="Verdana" w:hAnsi="Verdana"/>
          <w:bCs/>
          <w:sz w:val="20"/>
          <w:szCs w:val="20"/>
        </w:rPr>
        <w:t>'s</w:t>
      </w:r>
      <w:r w:rsidR="00197BA3" w:rsidRPr="00F7731E">
        <w:rPr>
          <w:rFonts w:ascii="Verdana" w:hAnsi="Verdana"/>
          <w:bCs/>
          <w:sz w:val="20"/>
          <w:szCs w:val="20"/>
        </w:rPr>
        <w:t xml:space="preserve"> </w:t>
      </w:r>
      <w:r w:rsidR="005838FB" w:rsidRPr="00F7731E">
        <w:rPr>
          <w:rFonts w:ascii="Verdana" w:hAnsi="Verdana"/>
          <w:bCs/>
          <w:sz w:val="20"/>
          <w:szCs w:val="20"/>
        </w:rPr>
        <w:t>interest</w:t>
      </w:r>
      <w:r w:rsidR="00224A7B" w:rsidRPr="00F7731E">
        <w:rPr>
          <w:rFonts w:ascii="Verdana" w:hAnsi="Verdana"/>
          <w:bCs/>
          <w:sz w:val="20"/>
          <w:szCs w:val="20"/>
        </w:rPr>
        <w:t>s</w:t>
      </w:r>
      <w:r w:rsidR="005838FB" w:rsidRPr="00F7731E">
        <w:rPr>
          <w:rFonts w:ascii="Verdana" w:hAnsi="Verdana"/>
          <w:bCs/>
          <w:sz w:val="20"/>
          <w:szCs w:val="20"/>
        </w:rPr>
        <w:t xml:space="preserve"> </w:t>
      </w:r>
      <w:r w:rsidR="00224A7B" w:rsidRPr="00F7731E">
        <w:rPr>
          <w:rFonts w:ascii="Verdana" w:hAnsi="Verdana"/>
          <w:bCs/>
          <w:sz w:val="20"/>
          <w:szCs w:val="20"/>
        </w:rPr>
        <w:t>spanned</w:t>
      </w:r>
      <w:r w:rsidR="00197BA3" w:rsidRPr="00F7731E">
        <w:rPr>
          <w:rFonts w:ascii="Verdana" w:hAnsi="Verdana"/>
          <w:bCs/>
          <w:sz w:val="20"/>
          <w:szCs w:val="20"/>
        </w:rPr>
        <w:t xml:space="preserve"> </w:t>
      </w:r>
      <w:r w:rsidR="005838FB" w:rsidRPr="00F7731E">
        <w:rPr>
          <w:rFonts w:ascii="Verdana" w:hAnsi="Verdana"/>
          <w:bCs/>
          <w:sz w:val="20"/>
          <w:szCs w:val="20"/>
        </w:rPr>
        <w:t>233</w:t>
      </w:r>
      <w:r w:rsidR="00197BA3" w:rsidRPr="00F7731E">
        <w:rPr>
          <w:rFonts w:ascii="Verdana" w:hAnsi="Verdana"/>
          <w:bCs/>
          <w:sz w:val="20"/>
          <w:szCs w:val="20"/>
        </w:rPr>
        <w:t xml:space="preserve"> shareholder meetings (</w:t>
      </w:r>
      <w:r w:rsidR="005838FB" w:rsidRPr="00F7731E">
        <w:rPr>
          <w:rFonts w:ascii="Verdana" w:hAnsi="Verdana"/>
          <w:bCs/>
          <w:sz w:val="20"/>
          <w:szCs w:val="20"/>
        </w:rPr>
        <w:t>10</w:t>
      </w:r>
      <w:r w:rsidR="00197BA3" w:rsidRPr="00F7731E">
        <w:rPr>
          <w:rFonts w:ascii="Verdana" w:hAnsi="Verdana"/>
          <w:bCs/>
          <w:sz w:val="20"/>
          <w:szCs w:val="20"/>
        </w:rPr>
        <w:t xml:space="preserve"> AGM, </w:t>
      </w:r>
      <w:r w:rsidR="005838FB" w:rsidRPr="00F7731E">
        <w:rPr>
          <w:rFonts w:ascii="Verdana" w:hAnsi="Verdana"/>
          <w:bCs/>
          <w:sz w:val="20"/>
          <w:szCs w:val="20"/>
        </w:rPr>
        <w:t>223</w:t>
      </w:r>
      <w:r w:rsidR="00197BA3" w:rsidRPr="00F7731E">
        <w:rPr>
          <w:rFonts w:ascii="Verdana" w:hAnsi="Verdana"/>
          <w:bCs/>
          <w:sz w:val="20"/>
          <w:szCs w:val="20"/>
        </w:rPr>
        <w:t xml:space="preserve"> EGM) </w:t>
      </w:r>
      <w:r w:rsidRPr="00F7731E">
        <w:rPr>
          <w:rFonts w:ascii="Verdana" w:hAnsi="Verdana"/>
          <w:bCs/>
          <w:sz w:val="20"/>
          <w:szCs w:val="20"/>
        </w:rPr>
        <w:t>incorporating</w:t>
      </w:r>
      <w:r w:rsidR="00224A7B" w:rsidRPr="00F7731E">
        <w:rPr>
          <w:rFonts w:ascii="Verdana" w:hAnsi="Verdana"/>
          <w:bCs/>
          <w:sz w:val="20"/>
          <w:szCs w:val="20"/>
        </w:rPr>
        <w:t xml:space="preserve"> </w:t>
      </w:r>
      <w:r w:rsidR="005838FB" w:rsidRPr="00F7731E">
        <w:rPr>
          <w:rFonts w:ascii="Verdana" w:hAnsi="Verdana"/>
          <w:bCs/>
          <w:sz w:val="20"/>
          <w:szCs w:val="20"/>
        </w:rPr>
        <w:t>3,360</w:t>
      </w:r>
      <w:r w:rsidR="00197BA3" w:rsidRPr="00F7731E">
        <w:rPr>
          <w:rFonts w:ascii="Verdana" w:hAnsi="Verdana"/>
          <w:bCs/>
          <w:sz w:val="20"/>
          <w:szCs w:val="20"/>
        </w:rPr>
        <w:t xml:space="preserve"> separate resolutions.</w:t>
      </w:r>
      <w:r w:rsidR="00F83B47" w:rsidRPr="00F7731E">
        <w:rPr>
          <w:rFonts w:ascii="Verdana" w:hAnsi="Verdana"/>
          <w:bCs/>
          <w:sz w:val="20"/>
          <w:szCs w:val="20"/>
        </w:rPr>
        <w:t xml:space="preserve"> </w:t>
      </w:r>
      <w:r w:rsidR="00A6170F" w:rsidRPr="00F7731E">
        <w:rPr>
          <w:rFonts w:ascii="Verdana" w:hAnsi="Verdana"/>
          <w:bCs/>
          <w:sz w:val="20"/>
          <w:szCs w:val="20"/>
        </w:rPr>
        <w:t>This</w:t>
      </w:r>
      <w:r w:rsidR="00F83B47" w:rsidRPr="00F7731E">
        <w:rPr>
          <w:rFonts w:ascii="Verdana" w:hAnsi="Verdana"/>
          <w:bCs/>
          <w:sz w:val="20"/>
          <w:szCs w:val="20"/>
        </w:rPr>
        <w:t xml:space="preserve"> </w:t>
      </w:r>
      <w:r w:rsidRPr="00F7731E">
        <w:rPr>
          <w:rFonts w:ascii="Verdana" w:hAnsi="Verdana"/>
          <w:bCs/>
          <w:sz w:val="20"/>
          <w:szCs w:val="20"/>
        </w:rPr>
        <w:t>large</w:t>
      </w:r>
      <w:r w:rsidR="00F83B47" w:rsidRPr="00F7731E">
        <w:rPr>
          <w:rFonts w:ascii="Verdana" w:hAnsi="Verdana"/>
          <w:bCs/>
          <w:sz w:val="20"/>
          <w:szCs w:val="20"/>
        </w:rPr>
        <w:t xml:space="preserve"> number reflects that Q2 spans "voting season" in which the majority of companies hold AGMs. </w:t>
      </w:r>
      <w:r w:rsidR="00197BA3" w:rsidRPr="00F7731E">
        <w:rPr>
          <w:rFonts w:ascii="Verdana" w:hAnsi="Verdana"/>
          <w:bCs/>
          <w:sz w:val="20"/>
          <w:szCs w:val="20"/>
        </w:rPr>
        <w:t xml:space="preserve"> The </w:t>
      </w:r>
      <w:r w:rsidR="00F83B47" w:rsidRPr="00F7731E">
        <w:rPr>
          <w:rFonts w:ascii="Verdana" w:hAnsi="Verdana"/>
          <w:bCs/>
          <w:sz w:val="20"/>
          <w:szCs w:val="20"/>
        </w:rPr>
        <w:t xml:space="preserve">tables </w:t>
      </w:r>
      <w:r w:rsidRPr="00F7731E">
        <w:rPr>
          <w:rFonts w:ascii="Verdana" w:hAnsi="Verdana"/>
          <w:bCs/>
          <w:sz w:val="20"/>
          <w:szCs w:val="20"/>
        </w:rPr>
        <w:t xml:space="preserve">below </w:t>
      </w:r>
      <w:r w:rsidR="00F83B47" w:rsidRPr="00F7731E">
        <w:rPr>
          <w:rFonts w:ascii="Verdana" w:hAnsi="Verdana"/>
          <w:bCs/>
          <w:sz w:val="20"/>
          <w:szCs w:val="20"/>
        </w:rPr>
        <w:t>s</w:t>
      </w:r>
      <w:r w:rsidR="00197BA3" w:rsidRPr="00F7731E">
        <w:rPr>
          <w:rFonts w:ascii="Verdana" w:hAnsi="Verdana"/>
          <w:bCs/>
          <w:sz w:val="20"/>
          <w:szCs w:val="20"/>
        </w:rPr>
        <w:t xml:space="preserve">ummarise the </w:t>
      </w:r>
      <w:r w:rsidR="00224A7B" w:rsidRPr="00F7731E">
        <w:rPr>
          <w:rFonts w:ascii="Verdana" w:hAnsi="Verdana"/>
          <w:bCs/>
          <w:sz w:val="20"/>
          <w:szCs w:val="20"/>
        </w:rPr>
        <w:t xml:space="preserve">spread </w:t>
      </w:r>
      <w:r w:rsidR="00197BA3" w:rsidRPr="00F7731E">
        <w:rPr>
          <w:rFonts w:ascii="Verdana" w:hAnsi="Verdana"/>
          <w:bCs/>
          <w:sz w:val="20"/>
          <w:szCs w:val="20"/>
        </w:rPr>
        <w:t xml:space="preserve">of voting </w:t>
      </w:r>
      <w:r w:rsidR="00224A7B" w:rsidRPr="00F7731E">
        <w:rPr>
          <w:rFonts w:ascii="Verdana" w:hAnsi="Verdana"/>
          <w:bCs/>
          <w:sz w:val="20"/>
          <w:szCs w:val="20"/>
        </w:rPr>
        <w:t>with</w:t>
      </w:r>
      <w:r w:rsidR="00197BA3" w:rsidRPr="00F7731E">
        <w:rPr>
          <w:rFonts w:ascii="Verdana" w:hAnsi="Verdana"/>
          <w:bCs/>
          <w:sz w:val="20"/>
          <w:szCs w:val="20"/>
        </w:rPr>
        <w:t>in Q2:</w:t>
      </w:r>
    </w:p>
    <w:p w:rsidR="005838FB" w:rsidRPr="00F7731E" w:rsidRDefault="005838FB" w:rsidP="00197BA3">
      <w:pPr>
        <w:widowControl w:val="0"/>
        <w:spacing w:after="0"/>
        <w:outlineLvl w:val="0"/>
        <w:rPr>
          <w:rFonts w:ascii="Verdana" w:hAnsi="Verdana"/>
          <w:bCs/>
          <w:sz w:val="20"/>
          <w:szCs w:val="20"/>
        </w:rPr>
      </w:pPr>
    </w:p>
    <w:tbl>
      <w:tblPr>
        <w:tblStyle w:val="TableGrid"/>
        <w:tblW w:w="0" w:type="auto"/>
        <w:tblLook w:val="04A0" w:firstRow="1" w:lastRow="0" w:firstColumn="1" w:lastColumn="0" w:noHBand="0" w:noVBand="1"/>
      </w:tblPr>
      <w:tblGrid>
        <w:gridCol w:w="2499"/>
        <w:gridCol w:w="625"/>
        <w:gridCol w:w="926"/>
        <w:gridCol w:w="295"/>
        <w:gridCol w:w="2701"/>
        <w:gridCol w:w="1157"/>
        <w:gridCol w:w="813"/>
      </w:tblGrid>
      <w:tr w:rsidR="00F7731E" w:rsidRPr="00F7731E" w:rsidTr="005838FB">
        <w:trPr>
          <w:trHeight w:val="6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Location</w:t>
            </w:r>
          </w:p>
        </w:tc>
        <w:tc>
          <w:tcPr>
            <w:tcW w:w="1551" w:type="dxa"/>
            <w:gridSpan w:val="2"/>
            <w:tcBorders>
              <w:right w:val="single" w:sz="4" w:space="0" w:color="auto"/>
            </w:tcBorders>
            <w:noWrap/>
            <w:hideMark/>
          </w:tcPr>
          <w:p w:rsidR="005838FB" w:rsidRPr="00F7731E" w:rsidRDefault="005838FB" w:rsidP="005838FB">
            <w:pPr>
              <w:widowControl w:val="0"/>
              <w:jc w:val="center"/>
              <w:outlineLvl w:val="0"/>
              <w:rPr>
                <w:rFonts w:ascii="Verdana" w:hAnsi="Verdana"/>
                <w:bCs/>
                <w:sz w:val="20"/>
                <w:szCs w:val="20"/>
              </w:rPr>
            </w:pPr>
            <w:r w:rsidRPr="00F7731E">
              <w:rPr>
                <w:rFonts w:ascii="Verdana" w:hAnsi="Verdana"/>
                <w:bCs/>
                <w:sz w:val="20"/>
                <w:szCs w:val="20"/>
              </w:rPr>
              <w:t>Meetings Voted</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Vote Categories </w:t>
            </w:r>
          </w:p>
        </w:tc>
        <w:tc>
          <w:tcPr>
            <w:tcW w:w="1970" w:type="dxa"/>
            <w:gridSpan w:val="2"/>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No. of Resolutions</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UK &amp; BRITISH OVERSEAS </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12</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5%</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For</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2,029</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60%</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EUROPE &amp; GLOBAL EU</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52</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22%</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Abstain </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126</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4%</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USA &amp; CANADA </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125</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54%</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Oppose </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941</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28%</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ASIA </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13</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6%</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Non-Voting </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92</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3%</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JAPAN </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21</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9%</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Not Supported </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9</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0%</w:t>
            </w:r>
          </w:p>
        </w:tc>
      </w:tr>
      <w:tr w:rsidR="00F7731E" w:rsidRPr="00F7731E" w:rsidTr="005838FB">
        <w:trPr>
          <w:trHeight w:val="300"/>
        </w:trPr>
        <w:tc>
          <w:tcPr>
            <w:tcW w:w="2499" w:type="dxa"/>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AUSTRALIA &amp; NEW ZEALAND</w:t>
            </w:r>
          </w:p>
        </w:tc>
        <w:tc>
          <w:tcPr>
            <w:tcW w:w="625" w:type="dxa"/>
            <w:noWrap/>
            <w:hideMark/>
          </w:tcPr>
          <w:p w:rsidR="005838FB" w:rsidRPr="00F7731E" w:rsidRDefault="005838FB" w:rsidP="00F83B47">
            <w:pPr>
              <w:widowControl w:val="0"/>
              <w:jc w:val="right"/>
              <w:outlineLvl w:val="0"/>
              <w:rPr>
                <w:rFonts w:ascii="Verdana" w:hAnsi="Verdana"/>
                <w:bCs/>
                <w:sz w:val="20"/>
                <w:szCs w:val="20"/>
              </w:rPr>
            </w:pPr>
            <w:r w:rsidRPr="00F7731E">
              <w:rPr>
                <w:rFonts w:ascii="Verdana" w:hAnsi="Verdana"/>
                <w:bCs/>
                <w:sz w:val="20"/>
                <w:szCs w:val="20"/>
              </w:rPr>
              <w:t>4</w:t>
            </w:r>
          </w:p>
        </w:tc>
        <w:tc>
          <w:tcPr>
            <w:tcW w:w="926" w:type="dxa"/>
            <w:tcBorders>
              <w:right w:val="single" w:sz="4" w:space="0" w:color="auto"/>
            </w:tcBorders>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2%</w:t>
            </w:r>
          </w:p>
        </w:tc>
        <w:tc>
          <w:tcPr>
            <w:tcW w:w="295" w:type="dxa"/>
            <w:tcBorders>
              <w:top w:val="nil"/>
              <w:left w:val="single" w:sz="4" w:space="0" w:color="auto"/>
              <w:bottom w:val="nil"/>
              <w:right w:val="single" w:sz="4" w:space="0" w:color="auto"/>
            </w:tcBorders>
            <w:noWrap/>
            <w:hideMark/>
          </w:tcPr>
          <w:p w:rsidR="005838FB" w:rsidRPr="00F7731E" w:rsidRDefault="005838FB" w:rsidP="005838FB">
            <w:pPr>
              <w:widowControl w:val="0"/>
              <w:outlineLvl w:val="0"/>
              <w:rPr>
                <w:rFonts w:ascii="Verdana" w:hAnsi="Verdana"/>
                <w:bCs/>
                <w:sz w:val="20"/>
                <w:szCs w:val="20"/>
              </w:rPr>
            </w:pPr>
          </w:p>
        </w:tc>
        <w:tc>
          <w:tcPr>
            <w:tcW w:w="2701" w:type="dxa"/>
            <w:tcBorders>
              <w:left w:val="single" w:sz="4" w:space="0" w:color="auto"/>
            </w:tcBorders>
            <w:noWrap/>
            <w:hideMark/>
          </w:tcPr>
          <w:p w:rsidR="005838FB" w:rsidRPr="00F7731E" w:rsidRDefault="005838FB" w:rsidP="005838FB">
            <w:pPr>
              <w:widowControl w:val="0"/>
              <w:outlineLvl w:val="0"/>
              <w:rPr>
                <w:rFonts w:ascii="Verdana" w:hAnsi="Verdana"/>
                <w:bCs/>
                <w:sz w:val="20"/>
                <w:szCs w:val="20"/>
              </w:rPr>
            </w:pPr>
            <w:r w:rsidRPr="00F7731E">
              <w:rPr>
                <w:rFonts w:ascii="Verdana" w:hAnsi="Verdana"/>
                <w:bCs/>
                <w:sz w:val="20"/>
                <w:szCs w:val="20"/>
              </w:rPr>
              <w:t xml:space="preserve">Withhold </w:t>
            </w:r>
          </w:p>
        </w:tc>
        <w:tc>
          <w:tcPr>
            <w:tcW w:w="1157"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162</w:t>
            </w:r>
          </w:p>
        </w:tc>
        <w:tc>
          <w:tcPr>
            <w:tcW w:w="813" w:type="dxa"/>
            <w:noWrap/>
            <w:hideMark/>
          </w:tcPr>
          <w:p w:rsidR="005838FB" w:rsidRPr="00F7731E" w:rsidRDefault="005838FB" w:rsidP="005838FB">
            <w:pPr>
              <w:widowControl w:val="0"/>
              <w:jc w:val="right"/>
              <w:outlineLvl w:val="0"/>
              <w:rPr>
                <w:rFonts w:ascii="Verdana" w:hAnsi="Verdana"/>
                <w:bCs/>
                <w:sz w:val="20"/>
                <w:szCs w:val="20"/>
              </w:rPr>
            </w:pPr>
            <w:r w:rsidRPr="00F7731E">
              <w:rPr>
                <w:rFonts w:ascii="Verdana" w:hAnsi="Verdana"/>
                <w:bCs/>
                <w:sz w:val="20"/>
                <w:szCs w:val="20"/>
              </w:rPr>
              <w:t>5%</w:t>
            </w:r>
          </w:p>
        </w:tc>
      </w:tr>
      <w:tr w:rsidR="001C619F" w:rsidRPr="001C619F" w:rsidTr="005838FB">
        <w:trPr>
          <w:trHeight w:val="300"/>
        </w:trPr>
        <w:tc>
          <w:tcPr>
            <w:tcW w:w="2499" w:type="dxa"/>
            <w:noWrap/>
            <w:hideMark/>
          </w:tcPr>
          <w:p w:rsidR="005838FB" w:rsidRPr="001C619F" w:rsidRDefault="005838FB" w:rsidP="005838FB">
            <w:pPr>
              <w:widowControl w:val="0"/>
              <w:outlineLvl w:val="0"/>
              <w:rPr>
                <w:rFonts w:ascii="Verdana" w:hAnsi="Verdana"/>
                <w:bCs/>
                <w:sz w:val="20"/>
                <w:szCs w:val="20"/>
              </w:rPr>
            </w:pPr>
            <w:r w:rsidRPr="001C619F">
              <w:rPr>
                <w:rFonts w:ascii="Verdana" w:hAnsi="Verdana"/>
                <w:bCs/>
                <w:sz w:val="20"/>
                <w:szCs w:val="20"/>
              </w:rPr>
              <w:t xml:space="preserve">SOUTH AMERICA </w:t>
            </w:r>
          </w:p>
        </w:tc>
        <w:tc>
          <w:tcPr>
            <w:tcW w:w="625" w:type="dxa"/>
            <w:noWrap/>
            <w:hideMark/>
          </w:tcPr>
          <w:p w:rsidR="005838FB" w:rsidRPr="001C619F" w:rsidRDefault="005838FB" w:rsidP="00F83B47">
            <w:pPr>
              <w:widowControl w:val="0"/>
              <w:jc w:val="right"/>
              <w:outlineLvl w:val="0"/>
              <w:rPr>
                <w:rFonts w:ascii="Verdana" w:hAnsi="Verdana"/>
                <w:bCs/>
                <w:sz w:val="20"/>
                <w:szCs w:val="20"/>
              </w:rPr>
            </w:pPr>
            <w:r w:rsidRPr="001C619F">
              <w:rPr>
                <w:rFonts w:ascii="Verdana" w:hAnsi="Verdana"/>
                <w:bCs/>
                <w:sz w:val="20"/>
                <w:szCs w:val="20"/>
              </w:rPr>
              <w:t>3</w:t>
            </w:r>
          </w:p>
        </w:tc>
        <w:tc>
          <w:tcPr>
            <w:tcW w:w="926" w:type="dxa"/>
            <w:tcBorders>
              <w:right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1%</w:t>
            </w:r>
          </w:p>
        </w:tc>
        <w:tc>
          <w:tcPr>
            <w:tcW w:w="295" w:type="dxa"/>
            <w:tcBorders>
              <w:top w:val="nil"/>
              <w:left w:val="single" w:sz="4" w:space="0" w:color="auto"/>
              <w:bottom w:val="nil"/>
              <w:right w:val="single" w:sz="4" w:space="0" w:color="auto"/>
            </w:tcBorders>
            <w:noWrap/>
            <w:hideMark/>
          </w:tcPr>
          <w:p w:rsidR="005838FB" w:rsidRPr="001C619F" w:rsidRDefault="005838FB" w:rsidP="005838FB">
            <w:pPr>
              <w:widowControl w:val="0"/>
              <w:outlineLvl w:val="0"/>
              <w:rPr>
                <w:rFonts w:ascii="Verdana" w:hAnsi="Verdana"/>
                <w:bCs/>
                <w:sz w:val="20"/>
                <w:szCs w:val="20"/>
              </w:rPr>
            </w:pPr>
          </w:p>
        </w:tc>
        <w:tc>
          <w:tcPr>
            <w:tcW w:w="2701" w:type="dxa"/>
            <w:tcBorders>
              <w:left w:val="single" w:sz="4" w:space="0" w:color="auto"/>
              <w:bottom w:val="single" w:sz="4" w:space="0" w:color="auto"/>
            </w:tcBorders>
            <w:noWrap/>
            <w:hideMark/>
          </w:tcPr>
          <w:p w:rsidR="005838FB" w:rsidRPr="001C619F" w:rsidRDefault="005838FB" w:rsidP="005838FB">
            <w:pPr>
              <w:widowControl w:val="0"/>
              <w:outlineLvl w:val="0"/>
              <w:rPr>
                <w:rFonts w:ascii="Verdana" w:hAnsi="Verdana"/>
                <w:bCs/>
                <w:sz w:val="20"/>
                <w:szCs w:val="20"/>
              </w:rPr>
            </w:pPr>
            <w:r w:rsidRPr="001C619F">
              <w:rPr>
                <w:rFonts w:ascii="Verdana" w:hAnsi="Verdana"/>
                <w:bCs/>
                <w:sz w:val="20"/>
                <w:szCs w:val="20"/>
              </w:rPr>
              <w:t xml:space="preserve">US Frequency Vote on Pay </w:t>
            </w:r>
          </w:p>
        </w:tc>
        <w:tc>
          <w:tcPr>
            <w:tcW w:w="1157" w:type="dxa"/>
            <w:tcBorders>
              <w:bottom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1</w:t>
            </w:r>
          </w:p>
        </w:tc>
        <w:tc>
          <w:tcPr>
            <w:tcW w:w="813" w:type="dxa"/>
            <w:tcBorders>
              <w:bottom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0%</w:t>
            </w:r>
          </w:p>
        </w:tc>
      </w:tr>
      <w:tr w:rsidR="001C619F" w:rsidRPr="001C619F" w:rsidTr="005838FB">
        <w:trPr>
          <w:trHeight w:val="300"/>
        </w:trPr>
        <w:tc>
          <w:tcPr>
            <w:tcW w:w="2499" w:type="dxa"/>
            <w:noWrap/>
            <w:hideMark/>
          </w:tcPr>
          <w:p w:rsidR="005838FB" w:rsidRPr="001C619F" w:rsidRDefault="005838FB" w:rsidP="005838FB">
            <w:pPr>
              <w:widowControl w:val="0"/>
              <w:outlineLvl w:val="0"/>
              <w:rPr>
                <w:rFonts w:ascii="Verdana" w:hAnsi="Verdana"/>
                <w:bCs/>
                <w:sz w:val="20"/>
                <w:szCs w:val="20"/>
              </w:rPr>
            </w:pPr>
            <w:r w:rsidRPr="001C619F">
              <w:rPr>
                <w:rFonts w:ascii="Verdana" w:hAnsi="Verdana"/>
                <w:bCs/>
                <w:sz w:val="20"/>
                <w:szCs w:val="20"/>
              </w:rPr>
              <w:t xml:space="preserve">REST OF THE WORLD </w:t>
            </w:r>
          </w:p>
        </w:tc>
        <w:tc>
          <w:tcPr>
            <w:tcW w:w="625" w:type="dxa"/>
            <w:noWrap/>
            <w:hideMark/>
          </w:tcPr>
          <w:p w:rsidR="005838FB" w:rsidRPr="001C619F" w:rsidRDefault="005838FB" w:rsidP="00F83B47">
            <w:pPr>
              <w:widowControl w:val="0"/>
              <w:jc w:val="right"/>
              <w:outlineLvl w:val="0"/>
              <w:rPr>
                <w:rFonts w:ascii="Verdana" w:hAnsi="Verdana"/>
                <w:bCs/>
                <w:sz w:val="20"/>
                <w:szCs w:val="20"/>
              </w:rPr>
            </w:pPr>
            <w:r w:rsidRPr="001C619F">
              <w:rPr>
                <w:rFonts w:ascii="Verdana" w:hAnsi="Verdana"/>
                <w:bCs/>
                <w:sz w:val="20"/>
                <w:szCs w:val="20"/>
              </w:rPr>
              <w:t>3</w:t>
            </w:r>
          </w:p>
        </w:tc>
        <w:tc>
          <w:tcPr>
            <w:tcW w:w="926" w:type="dxa"/>
            <w:tcBorders>
              <w:bottom w:val="single" w:sz="4" w:space="0" w:color="auto"/>
              <w:right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1%</w:t>
            </w:r>
          </w:p>
        </w:tc>
        <w:tc>
          <w:tcPr>
            <w:tcW w:w="295" w:type="dxa"/>
            <w:tcBorders>
              <w:top w:val="nil"/>
              <w:left w:val="single" w:sz="4" w:space="0" w:color="auto"/>
              <w:bottom w:val="nil"/>
              <w:right w:val="single" w:sz="4" w:space="0" w:color="auto"/>
            </w:tcBorders>
            <w:noWrap/>
            <w:hideMark/>
          </w:tcPr>
          <w:p w:rsidR="005838FB" w:rsidRPr="001C619F" w:rsidRDefault="005838FB" w:rsidP="005838FB">
            <w:pPr>
              <w:widowControl w:val="0"/>
              <w:outlineLvl w:val="0"/>
              <w:rPr>
                <w:rFonts w:ascii="Verdana" w:hAnsi="Verdana"/>
                <w:bCs/>
                <w:sz w:val="20"/>
                <w:szCs w:val="20"/>
              </w:rPr>
            </w:pPr>
          </w:p>
        </w:tc>
        <w:tc>
          <w:tcPr>
            <w:tcW w:w="2701" w:type="dxa"/>
            <w:tcBorders>
              <w:left w:val="single" w:sz="4" w:space="0" w:color="auto"/>
              <w:bottom w:val="single" w:sz="4" w:space="0" w:color="auto"/>
            </w:tcBorders>
            <w:noWrap/>
            <w:hideMark/>
          </w:tcPr>
          <w:p w:rsidR="005838FB" w:rsidRPr="001C619F" w:rsidRDefault="005838FB" w:rsidP="005838FB">
            <w:pPr>
              <w:widowControl w:val="0"/>
              <w:outlineLvl w:val="0"/>
              <w:rPr>
                <w:rFonts w:ascii="Verdana" w:hAnsi="Verdana"/>
                <w:bCs/>
                <w:sz w:val="20"/>
                <w:szCs w:val="20"/>
              </w:rPr>
            </w:pPr>
            <w:r w:rsidRPr="001C619F">
              <w:rPr>
                <w:rFonts w:ascii="Verdana" w:hAnsi="Verdana"/>
                <w:bCs/>
                <w:sz w:val="20"/>
                <w:szCs w:val="20"/>
              </w:rPr>
              <w:t xml:space="preserve">TOTAL </w:t>
            </w:r>
          </w:p>
        </w:tc>
        <w:tc>
          <w:tcPr>
            <w:tcW w:w="1157" w:type="dxa"/>
            <w:tcBorders>
              <w:bottom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3,360</w:t>
            </w:r>
          </w:p>
        </w:tc>
        <w:tc>
          <w:tcPr>
            <w:tcW w:w="813" w:type="dxa"/>
            <w:tcBorders>
              <w:bottom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100%</w:t>
            </w:r>
          </w:p>
        </w:tc>
      </w:tr>
      <w:tr w:rsidR="001C619F" w:rsidRPr="001C619F" w:rsidTr="005838FB">
        <w:trPr>
          <w:trHeight w:val="300"/>
        </w:trPr>
        <w:tc>
          <w:tcPr>
            <w:tcW w:w="2499" w:type="dxa"/>
            <w:noWrap/>
            <w:hideMark/>
          </w:tcPr>
          <w:p w:rsidR="005838FB" w:rsidRPr="001C619F" w:rsidRDefault="005838FB" w:rsidP="005838FB">
            <w:pPr>
              <w:widowControl w:val="0"/>
              <w:outlineLvl w:val="0"/>
              <w:rPr>
                <w:rFonts w:ascii="Verdana" w:hAnsi="Verdana"/>
                <w:bCs/>
                <w:sz w:val="20"/>
                <w:szCs w:val="20"/>
              </w:rPr>
            </w:pPr>
            <w:r w:rsidRPr="001C619F">
              <w:rPr>
                <w:rFonts w:ascii="Verdana" w:hAnsi="Verdana"/>
                <w:bCs/>
                <w:sz w:val="20"/>
                <w:szCs w:val="20"/>
              </w:rPr>
              <w:t xml:space="preserve">TOTAL </w:t>
            </w:r>
          </w:p>
        </w:tc>
        <w:tc>
          <w:tcPr>
            <w:tcW w:w="625" w:type="dxa"/>
            <w:noWrap/>
            <w:hideMark/>
          </w:tcPr>
          <w:p w:rsidR="005838FB" w:rsidRPr="001C619F" w:rsidRDefault="005838FB" w:rsidP="00F83B47">
            <w:pPr>
              <w:widowControl w:val="0"/>
              <w:jc w:val="right"/>
              <w:outlineLvl w:val="0"/>
              <w:rPr>
                <w:rFonts w:ascii="Verdana" w:hAnsi="Verdana"/>
                <w:bCs/>
                <w:sz w:val="20"/>
                <w:szCs w:val="20"/>
              </w:rPr>
            </w:pPr>
            <w:r w:rsidRPr="001C619F">
              <w:rPr>
                <w:rFonts w:ascii="Verdana" w:hAnsi="Verdana"/>
                <w:bCs/>
                <w:sz w:val="20"/>
                <w:szCs w:val="20"/>
              </w:rPr>
              <w:t>233</w:t>
            </w:r>
          </w:p>
        </w:tc>
        <w:tc>
          <w:tcPr>
            <w:tcW w:w="926" w:type="dxa"/>
            <w:tcBorders>
              <w:right w:val="single" w:sz="4" w:space="0" w:color="auto"/>
            </w:tcBorders>
            <w:noWrap/>
            <w:hideMark/>
          </w:tcPr>
          <w:p w:rsidR="005838FB" w:rsidRPr="001C619F" w:rsidRDefault="005838FB" w:rsidP="005838FB">
            <w:pPr>
              <w:widowControl w:val="0"/>
              <w:jc w:val="right"/>
              <w:outlineLvl w:val="0"/>
              <w:rPr>
                <w:rFonts w:ascii="Verdana" w:hAnsi="Verdana"/>
                <w:bCs/>
                <w:sz w:val="20"/>
                <w:szCs w:val="20"/>
              </w:rPr>
            </w:pPr>
            <w:r w:rsidRPr="001C619F">
              <w:rPr>
                <w:rFonts w:ascii="Verdana" w:hAnsi="Verdana"/>
                <w:bCs/>
                <w:sz w:val="20"/>
                <w:szCs w:val="20"/>
              </w:rPr>
              <w:t>100%</w:t>
            </w:r>
          </w:p>
        </w:tc>
        <w:tc>
          <w:tcPr>
            <w:tcW w:w="295" w:type="dxa"/>
            <w:tcBorders>
              <w:top w:val="nil"/>
              <w:left w:val="single" w:sz="4" w:space="0" w:color="auto"/>
              <w:bottom w:val="nil"/>
              <w:right w:val="nil"/>
            </w:tcBorders>
            <w:noWrap/>
            <w:hideMark/>
          </w:tcPr>
          <w:p w:rsidR="005838FB" w:rsidRPr="001C619F" w:rsidRDefault="005838FB" w:rsidP="005838FB">
            <w:pPr>
              <w:widowControl w:val="0"/>
              <w:outlineLvl w:val="0"/>
              <w:rPr>
                <w:rFonts w:ascii="Verdana" w:hAnsi="Verdana"/>
                <w:bCs/>
                <w:sz w:val="20"/>
                <w:szCs w:val="20"/>
              </w:rPr>
            </w:pPr>
          </w:p>
        </w:tc>
        <w:tc>
          <w:tcPr>
            <w:tcW w:w="2701" w:type="dxa"/>
            <w:tcBorders>
              <w:top w:val="single" w:sz="4" w:space="0" w:color="auto"/>
              <w:left w:val="nil"/>
              <w:bottom w:val="nil"/>
              <w:right w:val="nil"/>
            </w:tcBorders>
            <w:noWrap/>
          </w:tcPr>
          <w:p w:rsidR="005838FB" w:rsidRPr="001C619F" w:rsidRDefault="005838FB" w:rsidP="005838FB">
            <w:pPr>
              <w:widowControl w:val="0"/>
              <w:outlineLvl w:val="0"/>
              <w:rPr>
                <w:rFonts w:ascii="Verdana" w:hAnsi="Verdana"/>
                <w:bCs/>
                <w:sz w:val="20"/>
                <w:szCs w:val="20"/>
              </w:rPr>
            </w:pPr>
          </w:p>
        </w:tc>
        <w:tc>
          <w:tcPr>
            <w:tcW w:w="1157" w:type="dxa"/>
            <w:tcBorders>
              <w:top w:val="single" w:sz="4" w:space="0" w:color="auto"/>
              <w:left w:val="nil"/>
              <w:bottom w:val="nil"/>
              <w:right w:val="nil"/>
            </w:tcBorders>
            <w:noWrap/>
          </w:tcPr>
          <w:p w:rsidR="005838FB" w:rsidRPr="001C619F" w:rsidRDefault="005838FB" w:rsidP="005838FB">
            <w:pPr>
              <w:widowControl w:val="0"/>
              <w:jc w:val="right"/>
              <w:outlineLvl w:val="0"/>
              <w:rPr>
                <w:rFonts w:ascii="Verdana" w:hAnsi="Verdana"/>
                <w:bCs/>
                <w:sz w:val="20"/>
                <w:szCs w:val="20"/>
              </w:rPr>
            </w:pPr>
          </w:p>
        </w:tc>
        <w:tc>
          <w:tcPr>
            <w:tcW w:w="813" w:type="dxa"/>
            <w:tcBorders>
              <w:top w:val="single" w:sz="4" w:space="0" w:color="auto"/>
              <w:left w:val="nil"/>
              <w:bottom w:val="nil"/>
              <w:right w:val="nil"/>
            </w:tcBorders>
            <w:noWrap/>
          </w:tcPr>
          <w:p w:rsidR="005838FB" w:rsidRPr="001C619F" w:rsidRDefault="005838FB" w:rsidP="005838FB">
            <w:pPr>
              <w:widowControl w:val="0"/>
              <w:jc w:val="right"/>
              <w:outlineLvl w:val="0"/>
              <w:rPr>
                <w:rFonts w:ascii="Verdana" w:hAnsi="Verdana"/>
                <w:bCs/>
                <w:sz w:val="20"/>
                <w:szCs w:val="20"/>
              </w:rPr>
            </w:pPr>
          </w:p>
        </w:tc>
      </w:tr>
    </w:tbl>
    <w:p w:rsidR="005838FB" w:rsidRPr="007A0579" w:rsidRDefault="005838FB" w:rsidP="00197BA3">
      <w:pPr>
        <w:widowControl w:val="0"/>
        <w:spacing w:after="0"/>
        <w:outlineLvl w:val="0"/>
        <w:rPr>
          <w:rFonts w:ascii="Verdana" w:hAnsi="Verdana"/>
          <w:bCs/>
          <w:color w:val="183850" w:themeColor="text1"/>
          <w:sz w:val="20"/>
          <w:szCs w:val="20"/>
        </w:rPr>
      </w:pPr>
    </w:p>
    <w:p w:rsidR="004E3EBA" w:rsidRPr="004E3EBA" w:rsidRDefault="001C619F" w:rsidP="00197BA3">
      <w:pPr>
        <w:widowControl w:val="0"/>
        <w:spacing w:after="0"/>
        <w:outlineLvl w:val="0"/>
        <w:rPr>
          <w:rFonts w:ascii="Verdana" w:hAnsi="Verdana"/>
          <w:sz w:val="20"/>
          <w:szCs w:val="20"/>
        </w:rPr>
      </w:pPr>
      <w:r w:rsidRPr="001C619F">
        <w:rPr>
          <w:rFonts w:ascii="Verdana" w:hAnsi="Verdana"/>
          <w:bCs/>
          <w:sz w:val="20"/>
          <w:szCs w:val="20"/>
        </w:rPr>
        <w:t xml:space="preserve">13 meetings (92 resolutions) </w:t>
      </w:r>
      <w:r w:rsidR="002639DA">
        <w:rPr>
          <w:rFonts w:ascii="Verdana" w:hAnsi="Verdana"/>
          <w:bCs/>
          <w:sz w:val="20"/>
          <w:szCs w:val="20"/>
        </w:rPr>
        <w:t>a</w:t>
      </w:r>
      <w:r w:rsidRPr="001C619F">
        <w:rPr>
          <w:rFonts w:ascii="Verdana" w:hAnsi="Verdana"/>
          <w:bCs/>
          <w:sz w:val="20"/>
          <w:szCs w:val="20"/>
        </w:rPr>
        <w:t xml:space="preserve">re </w:t>
      </w:r>
      <w:r w:rsidR="002639DA">
        <w:rPr>
          <w:rFonts w:ascii="Verdana" w:hAnsi="Verdana"/>
          <w:bCs/>
          <w:sz w:val="20"/>
          <w:szCs w:val="20"/>
        </w:rPr>
        <w:t xml:space="preserve">reported as </w:t>
      </w:r>
      <w:r w:rsidRPr="001C619F">
        <w:rPr>
          <w:rFonts w:ascii="Verdana" w:hAnsi="Verdana"/>
          <w:bCs/>
          <w:sz w:val="20"/>
          <w:szCs w:val="20"/>
        </w:rPr>
        <w:t>no</w:t>
      </w:r>
      <w:r w:rsidR="002639DA">
        <w:rPr>
          <w:rFonts w:ascii="Verdana" w:hAnsi="Verdana"/>
          <w:bCs/>
          <w:sz w:val="20"/>
          <w:szCs w:val="20"/>
        </w:rPr>
        <w:t>n-vot</w:t>
      </w:r>
      <w:r w:rsidR="00A6170F">
        <w:rPr>
          <w:rFonts w:ascii="Verdana" w:hAnsi="Verdana"/>
          <w:bCs/>
          <w:sz w:val="20"/>
          <w:szCs w:val="20"/>
        </w:rPr>
        <w:t>ing</w:t>
      </w:r>
      <w:r w:rsidRPr="001C619F">
        <w:rPr>
          <w:rFonts w:ascii="Verdana" w:hAnsi="Verdana"/>
          <w:bCs/>
          <w:sz w:val="20"/>
          <w:szCs w:val="20"/>
        </w:rPr>
        <w:t xml:space="preserve">. In </w:t>
      </w:r>
      <w:r w:rsidR="002639DA">
        <w:rPr>
          <w:rFonts w:ascii="Verdana" w:hAnsi="Verdana"/>
          <w:bCs/>
          <w:sz w:val="20"/>
          <w:szCs w:val="20"/>
        </w:rPr>
        <w:t xml:space="preserve">each </w:t>
      </w:r>
      <w:r w:rsidR="00A6170F">
        <w:rPr>
          <w:rFonts w:ascii="Verdana" w:hAnsi="Verdana"/>
          <w:bCs/>
          <w:sz w:val="20"/>
          <w:szCs w:val="20"/>
        </w:rPr>
        <w:t>case</w:t>
      </w:r>
      <w:r w:rsidR="00343C9E">
        <w:rPr>
          <w:rFonts w:ascii="Verdana" w:hAnsi="Verdana"/>
          <w:bCs/>
          <w:sz w:val="20"/>
          <w:szCs w:val="20"/>
        </w:rPr>
        <w:t xml:space="preserve"> this reflected that </w:t>
      </w:r>
      <w:r w:rsidRPr="001C619F">
        <w:rPr>
          <w:rFonts w:ascii="Verdana" w:hAnsi="Verdana"/>
          <w:bCs/>
          <w:sz w:val="20"/>
          <w:szCs w:val="20"/>
        </w:rPr>
        <w:t>the</w:t>
      </w:r>
      <w:r w:rsidR="002639DA">
        <w:rPr>
          <w:rFonts w:ascii="Verdana" w:hAnsi="Verdana"/>
          <w:bCs/>
          <w:sz w:val="20"/>
          <w:szCs w:val="20"/>
        </w:rPr>
        <w:t xml:space="preserve"> Fund either held </w:t>
      </w:r>
      <w:r w:rsidR="002639DA" w:rsidRPr="001C619F">
        <w:rPr>
          <w:rFonts w:ascii="Verdana" w:hAnsi="Verdana"/>
          <w:bCs/>
          <w:sz w:val="20"/>
          <w:szCs w:val="20"/>
        </w:rPr>
        <w:t xml:space="preserve">a class of </w:t>
      </w:r>
      <w:r w:rsidRPr="001C619F">
        <w:rPr>
          <w:rFonts w:ascii="Verdana" w:hAnsi="Verdana"/>
          <w:bCs/>
          <w:sz w:val="20"/>
          <w:szCs w:val="20"/>
        </w:rPr>
        <w:t xml:space="preserve">shares </w:t>
      </w:r>
      <w:r w:rsidR="00F83B47">
        <w:rPr>
          <w:rFonts w:ascii="Verdana" w:hAnsi="Verdana"/>
          <w:bCs/>
          <w:sz w:val="20"/>
          <w:szCs w:val="20"/>
        </w:rPr>
        <w:t>giving no voting entitlement</w:t>
      </w:r>
      <w:r w:rsidR="00343C9E">
        <w:rPr>
          <w:rFonts w:ascii="Verdana" w:hAnsi="Verdana"/>
          <w:bCs/>
          <w:sz w:val="20"/>
          <w:szCs w:val="20"/>
        </w:rPr>
        <w:t xml:space="preserve"> or </w:t>
      </w:r>
      <w:r w:rsidRPr="001C619F">
        <w:rPr>
          <w:rFonts w:ascii="Verdana" w:hAnsi="Verdana"/>
          <w:sz w:val="20"/>
          <w:szCs w:val="20"/>
        </w:rPr>
        <w:t xml:space="preserve">acquired </w:t>
      </w:r>
      <w:r w:rsidR="00E44745">
        <w:rPr>
          <w:rFonts w:ascii="Verdana" w:hAnsi="Verdana"/>
          <w:sz w:val="20"/>
          <w:szCs w:val="20"/>
        </w:rPr>
        <w:t>its</w:t>
      </w:r>
      <w:r w:rsidR="002639DA">
        <w:rPr>
          <w:rFonts w:ascii="Verdana" w:hAnsi="Verdana"/>
          <w:sz w:val="20"/>
          <w:szCs w:val="20"/>
        </w:rPr>
        <w:t xml:space="preserve"> holding </w:t>
      </w:r>
      <w:r w:rsidRPr="001C619F">
        <w:rPr>
          <w:rFonts w:ascii="Verdana" w:hAnsi="Verdana"/>
          <w:sz w:val="20"/>
          <w:szCs w:val="20"/>
        </w:rPr>
        <w:t>after the applicable record date</w:t>
      </w:r>
      <w:r w:rsidR="002639DA">
        <w:rPr>
          <w:rFonts w:ascii="Verdana" w:hAnsi="Verdana"/>
          <w:sz w:val="20"/>
          <w:szCs w:val="20"/>
        </w:rPr>
        <w:t xml:space="preserve"> for the </w:t>
      </w:r>
      <w:r w:rsidR="00F83B47">
        <w:rPr>
          <w:rFonts w:ascii="Verdana" w:hAnsi="Verdana"/>
          <w:sz w:val="20"/>
          <w:szCs w:val="20"/>
        </w:rPr>
        <w:t>AGM</w:t>
      </w:r>
      <w:r w:rsidR="00343C9E">
        <w:rPr>
          <w:rFonts w:ascii="Verdana" w:hAnsi="Verdana"/>
          <w:sz w:val="20"/>
          <w:szCs w:val="20"/>
        </w:rPr>
        <w:t xml:space="preserve">. There were also cases where the sale of a holding shortly before the meeting cut-off date removed the </w:t>
      </w:r>
      <w:r w:rsidR="002D6706">
        <w:rPr>
          <w:rFonts w:ascii="Verdana" w:hAnsi="Verdana"/>
          <w:sz w:val="20"/>
          <w:szCs w:val="20"/>
        </w:rPr>
        <w:t>entitle</w:t>
      </w:r>
      <w:r w:rsidR="00343C9E">
        <w:rPr>
          <w:rFonts w:ascii="Verdana" w:hAnsi="Verdana"/>
          <w:sz w:val="20"/>
          <w:szCs w:val="20"/>
        </w:rPr>
        <w:t>ment to participate</w:t>
      </w:r>
      <w:r w:rsidRPr="001C619F">
        <w:rPr>
          <w:rFonts w:ascii="Verdana" w:hAnsi="Verdana"/>
          <w:sz w:val="20"/>
          <w:szCs w:val="20"/>
        </w:rPr>
        <w:t xml:space="preserve">. </w:t>
      </w:r>
      <w:r w:rsidR="00343C9E">
        <w:rPr>
          <w:rFonts w:ascii="Verdana" w:hAnsi="Verdana"/>
          <w:sz w:val="20"/>
          <w:szCs w:val="20"/>
        </w:rPr>
        <w:t>There were no cases where the Fund was entitled to vote but did not submit a ballot.</w:t>
      </w:r>
    </w:p>
    <w:p w:rsidR="002639DA" w:rsidRDefault="002639DA" w:rsidP="00197BA3">
      <w:pPr>
        <w:widowControl w:val="0"/>
        <w:spacing w:after="0"/>
        <w:outlineLvl w:val="0"/>
        <w:rPr>
          <w:rFonts w:ascii="Verdana" w:hAnsi="Verdana"/>
          <w:bCs/>
          <w:color w:val="183850" w:themeColor="text1"/>
          <w:sz w:val="20"/>
          <w:szCs w:val="20"/>
        </w:rPr>
      </w:pPr>
    </w:p>
    <w:p w:rsidR="00197BA3" w:rsidRDefault="003F57EF" w:rsidP="00197BA3">
      <w:pPr>
        <w:widowControl w:val="0"/>
        <w:spacing w:after="0"/>
        <w:outlineLvl w:val="0"/>
        <w:rPr>
          <w:rFonts w:ascii="Verdana" w:hAnsi="Verdana"/>
          <w:bCs/>
          <w:sz w:val="20"/>
          <w:szCs w:val="20"/>
        </w:rPr>
      </w:pPr>
      <w:r>
        <w:rPr>
          <w:rFonts w:ascii="Verdana" w:hAnsi="Verdana"/>
          <w:bCs/>
          <w:sz w:val="20"/>
          <w:szCs w:val="20"/>
        </w:rPr>
        <w:t>O</w:t>
      </w:r>
      <w:r w:rsidRPr="00E44745">
        <w:rPr>
          <w:rFonts w:ascii="Verdana" w:hAnsi="Verdana"/>
          <w:bCs/>
          <w:sz w:val="20"/>
          <w:szCs w:val="20"/>
        </w:rPr>
        <w:t xml:space="preserve">n </w:t>
      </w:r>
      <w:r w:rsidR="002D6706">
        <w:rPr>
          <w:rFonts w:ascii="Verdana" w:hAnsi="Verdana"/>
          <w:bCs/>
          <w:sz w:val="20"/>
          <w:szCs w:val="20"/>
        </w:rPr>
        <w:t>LCPF</w:t>
      </w:r>
      <w:r w:rsidRPr="00E44745">
        <w:rPr>
          <w:rFonts w:ascii="Verdana" w:hAnsi="Verdana"/>
          <w:bCs/>
          <w:sz w:val="20"/>
          <w:szCs w:val="20"/>
        </w:rPr>
        <w:t>'s behalf</w:t>
      </w:r>
      <w:r w:rsidR="00343C9E">
        <w:rPr>
          <w:rFonts w:ascii="Verdana" w:hAnsi="Verdana"/>
          <w:bCs/>
          <w:sz w:val="20"/>
          <w:szCs w:val="20"/>
        </w:rPr>
        <w:t>,</w:t>
      </w:r>
      <w:r w:rsidRPr="00E44745">
        <w:rPr>
          <w:rFonts w:ascii="Verdana" w:hAnsi="Verdana"/>
          <w:bCs/>
          <w:sz w:val="20"/>
          <w:szCs w:val="20"/>
        </w:rPr>
        <w:t xml:space="preserve"> </w:t>
      </w:r>
      <w:r w:rsidR="00E44745" w:rsidRPr="00E44745">
        <w:rPr>
          <w:rFonts w:ascii="Verdana" w:hAnsi="Verdana"/>
          <w:bCs/>
          <w:sz w:val="20"/>
          <w:szCs w:val="20"/>
        </w:rPr>
        <w:t>PIRC ap</w:t>
      </w:r>
      <w:r>
        <w:rPr>
          <w:rFonts w:ascii="Verdana" w:hAnsi="Verdana"/>
          <w:bCs/>
          <w:sz w:val="20"/>
          <w:szCs w:val="20"/>
        </w:rPr>
        <w:t>ply</w:t>
      </w:r>
      <w:r w:rsidR="00E44745" w:rsidRPr="00E44745">
        <w:rPr>
          <w:rFonts w:ascii="Verdana" w:hAnsi="Verdana"/>
          <w:bCs/>
          <w:sz w:val="20"/>
          <w:szCs w:val="20"/>
        </w:rPr>
        <w:t xml:space="preserve"> a</w:t>
      </w:r>
      <w:r w:rsidR="002639DA" w:rsidRPr="00E44745">
        <w:rPr>
          <w:rFonts w:ascii="Verdana" w:hAnsi="Verdana"/>
          <w:bCs/>
          <w:sz w:val="20"/>
          <w:szCs w:val="20"/>
        </w:rPr>
        <w:t xml:space="preserve"> voting policy </w:t>
      </w:r>
      <w:r w:rsidR="00E44745" w:rsidRPr="00E44745">
        <w:rPr>
          <w:rFonts w:ascii="Verdana" w:hAnsi="Verdana"/>
          <w:bCs/>
          <w:sz w:val="20"/>
          <w:szCs w:val="20"/>
        </w:rPr>
        <w:t xml:space="preserve">which </w:t>
      </w:r>
      <w:r w:rsidR="00A06343" w:rsidRPr="00E44745">
        <w:rPr>
          <w:rFonts w:ascii="Verdana" w:hAnsi="Verdana"/>
          <w:bCs/>
          <w:sz w:val="20"/>
          <w:szCs w:val="20"/>
        </w:rPr>
        <w:t>reflects Corporate Governance best practice</w:t>
      </w:r>
      <w:r w:rsidR="00343C9E">
        <w:rPr>
          <w:rFonts w:ascii="Verdana" w:hAnsi="Verdana"/>
          <w:bCs/>
          <w:sz w:val="20"/>
          <w:szCs w:val="20"/>
        </w:rPr>
        <w:t xml:space="preserve"> and oppose or abstain</w:t>
      </w:r>
      <w:r w:rsidR="00555677">
        <w:rPr>
          <w:rFonts w:ascii="Verdana" w:hAnsi="Verdana"/>
          <w:bCs/>
          <w:sz w:val="20"/>
          <w:szCs w:val="20"/>
        </w:rPr>
        <w:t xml:space="preserve"> where </w:t>
      </w:r>
      <w:r w:rsidR="00E44745" w:rsidRPr="00E44745">
        <w:rPr>
          <w:rFonts w:ascii="Verdana" w:hAnsi="Verdana"/>
          <w:bCs/>
          <w:sz w:val="20"/>
          <w:szCs w:val="20"/>
        </w:rPr>
        <w:t>r</w:t>
      </w:r>
      <w:r w:rsidR="00A06343" w:rsidRPr="00E44745">
        <w:rPr>
          <w:rFonts w:ascii="Verdana" w:hAnsi="Verdana"/>
          <w:bCs/>
          <w:sz w:val="20"/>
          <w:szCs w:val="20"/>
        </w:rPr>
        <w:t xml:space="preserve">esolutions </w:t>
      </w:r>
      <w:r w:rsidR="00E44745" w:rsidRPr="00E44745">
        <w:rPr>
          <w:rFonts w:ascii="Verdana" w:hAnsi="Verdana"/>
          <w:bCs/>
          <w:sz w:val="20"/>
          <w:szCs w:val="20"/>
        </w:rPr>
        <w:t xml:space="preserve">are </w:t>
      </w:r>
      <w:r w:rsidR="002D6706" w:rsidRPr="00E44745">
        <w:rPr>
          <w:rFonts w:ascii="Verdana" w:hAnsi="Verdana"/>
          <w:bCs/>
          <w:sz w:val="20"/>
          <w:szCs w:val="20"/>
        </w:rPr>
        <w:t xml:space="preserve">judged </w:t>
      </w:r>
      <w:r w:rsidR="004E3EBA" w:rsidRPr="00E44745">
        <w:rPr>
          <w:rFonts w:ascii="Verdana" w:hAnsi="Verdana"/>
          <w:bCs/>
          <w:sz w:val="20"/>
          <w:szCs w:val="20"/>
        </w:rPr>
        <w:t xml:space="preserve">not </w:t>
      </w:r>
      <w:r w:rsidR="00A06343" w:rsidRPr="00E44745">
        <w:rPr>
          <w:rFonts w:ascii="Verdana" w:hAnsi="Verdana"/>
          <w:bCs/>
          <w:sz w:val="20"/>
          <w:szCs w:val="20"/>
        </w:rPr>
        <w:t xml:space="preserve">to be in the long term best interests </w:t>
      </w:r>
      <w:r w:rsidR="00E44745" w:rsidRPr="00E44745">
        <w:rPr>
          <w:rFonts w:ascii="Verdana" w:hAnsi="Verdana"/>
          <w:bCs/>
          <w:sz w:val="20"/>
          <w:szCs w:val="20"/>
        </w:rPr>
        <w:t xml:space="preserve">of shareholders. </w:t>
      </w:r>
      <w:r w:rsidR="00A6170F" w:rsidRPr="00E44745">
        <w:rPr>
          <w:rFonts w:ascii="Verdana" w:hAnsi="Verdana"/>
          <w:bCs/>
          <w:sz w:val="20"/>
          <w:szCs w:val="20"/>
        </w:rPr>
        <w:t>The Fund supported more than half (60%) of the r</w:t>
      </w:r>
      <w:r w:rsidR="00343C9E">
        <w:rPr>
          <w:rFonts w:ascii="Verdana" w:hAnsi="Verdana"/>
          <w:bCs/>
          <w:sz w:val="20"/>
          <w:szCs w:val="20"/>
        </w:rPr>
        <w:t>esolutions tabled</w:t>
      </w:r>
      <w:r w:rsidR="00A04AA5">
        <w:rPr>
          <w:rFonts w:ascii="Verdana" w:hAnsi="Verdana"/>
          <w:bCs/>
          <w:sz w:val="20"/>
          <w:szCs w:val="20"/>
        </w:rPr>
        <w:t xml:space="preserve"> in the quarter; o</w:t>
      </w:r>
      <w:r w:rsidR="00E44745" w:rsidRPr="00E44745">
        <w:rPr>
          <w:rFonts w:ascii="Verdana" w:hAnsi="Verdana"/>
          <w:bCs/>
          <w:sz w:val="20"/>
          <w:szCs w:val="20"/>
        </w:rPr>
        <w:t>pposition voting</w:t>
      </w:r>
      <w:r w:rsidR="00A04AA5">
        <w:rPr>
          <w:rFonts w:ascii="Verdana" w:hAnsi="Verdana"/>
          <w:bCs/>
          <w:sz w:val="20"/>
          <w:szCs w:val="20"/>
        </w:rPr>
        <w:t xml:space="preserve"> </w:t>
      </w:r>
      <w:r w:rsidR="00E44745" w:rsidRPr="00E44745">
        <w:rPr>
          <w:rFonts w:ascii="Verdana" w:hAnsi="Verdana"/>
          <w:bCs/>
          <w:sz w:val="20"/>
          <w:szCs w:val="20"/>
        </w:rPr>
        <w:t>concentrated upon</w:t>
      </w:r>
      <w:r w:rsidR="00160F73">
        <w:rPr>
          <w:rFonts w:ascii="Verdana" w:hAnsi="Verdana"/>
          <w:bCs/>
          <w:sz w:val="20"/>
          <w:szCs w:val="20"/>
        </w:rPr>
        <w:t xml:space="preserve"> the following matters:</w:t>
      </w:r>
    </w:p>
    <w:p w:rsidR="004E3EBA" w:rsidRDefault="00887DDF" w:rsidP="00887DDF">
      <w:pPr>
        <w:pStyle w:val="ListParagraph"/>
        <w:widowControl w:val="0"/>
        <w:numPr>
          <w:ilvl w:val="3"/>
          <w:numId w:val="30"/>
        </w:numPr>
        <w:spacing w:after="0"/>
        <w:ind w:left="709" w:hanging="709"/>
        <w:outlineLvl w:val="0"/>
        <w:rPr>
          <w:rFonts w:ascii="Verdana" w:hAnsi="Verdana"/>
          <w:bCs/>
          <w:sz w:val="20"/>
          <w:szCs w:val="20"/>
        </w:rPr>
      </w:pPr>
      <w:r w:rsidRPr="00887DDF">
        <w:rPr>
          <w:rFonts w:ascii="Verdana" w:hAnsi="Verdana"/>
          <w:bCs/>
          <w:sz w:val="20"/>
          <w:szCs w:val="20"/>
        </w:rPr>
        <w:t>CE</w:t>
      </w:r>
      <w:r w:rsidR="00873CFD" w:rsidRPr="00887DDF">
        <w:rPr>
          <w:rFonts w:ascii="Verdana" w:hAnsi="Verdana"/>
          <w:bCs/>
          <w:sz w:val="20"/>
          <w:szCs w:val="20"/>
        </w:rPr>
        <w:t>O</w:t>
      </w:r>
      <w:r w:rsidRPr="00887DDF">
        <w:rPr>
          <w:rFonts w:ascii="Verdana" w:hAnsi="Verdana"/>
          <w:bCs/>
          <w:sz w:val="20"/>
          <w:szCs w:val="20"/>
        </w:rPr>
        <w:t xml:space="preserve"> and Chairman of the Board responsibilities </w:t>
      </w:r>
      <w:r w:rsidR="00A6170F">
        <w:rPr>
          <w:rFonts w:ascii="Verdana" w:hAnsi="Verdana"/>
          <w:bCs/>
          <w:sz w:val="20"/>
          <w:szCs w:val="20"/>
        </w:rPr>
        <w:t xml:space="preserve">being </w:t>
      </w:r>
      <w:r>
        <w:rPr>
          <w:rFonts w:ascii="Verdana" w:hAnsi="Verdana"/>
          <w:bCs/>
          <w:sz w:val="20"/>
          <w:szCs w:val="20"/>
        </w:rPr>
        <w:t xml:space="preserve">combined </w:t>
      </w:r>
      <w:r w:rsidRPr="00887DDF">
        <w:rPr>
          <w:rFonts w:ascii="Verdana" w:hAnsi="Verdana"/>
          <w:bCs/>
          <w:sz w:val="20"/>
          <w:szCs w:val="20"/>
        </w:rPr>
        <w:t xml:space="preserve">in a single </w:t>
      </w:r>
      <w:r>
        <w:rPr>
          <w:rFonts w:ascii="Verdana" w:hAnsi="Verdana"/>
          <w:bCs/>
          <w:sz w:val="20"/>
          <w:szCs w:val="20"/>
        </w:rPr>
        <w:t>role</w:t>
      </w:r>
      <w:r w:rsidR="004E3EBA">
        <w:rPr>
          <w:rFonts w:ascii="Verdana" w:hAnsi="Verdana"/>
          <w:bCs/>
          <w:sz w:val="20"/>
          <w:szCs w:val="20"/>
        </w:rPr>
        <w:t>;</w:t>
      </w:r>
      <w:r>
        <w:rPr>
          <w:rFonts w:ascii="Verdana" w:hAnsi="Verdana"/>
          <w:bCs/>
          <w:sz w:val="20"/>
          <w:szCs w:val="20"/>
        </w:rPr>
        <w:t xml:space="preserve"> </w:t>
      </w:r>
    </w:p>
    <w:p w:rsidR="003F57EF" w:rsidRPr="00887DDF" w:rsidRDefault="004E3EBA" w:rsidP="00887DDF">
      <w:pPr>
        <w:pStyle w:val="ListParagraph"/>
        <w:widowControl w:val="0"/>
        <w:numPr>
          <w:ilvl w:val="3"/>
          <w:numId w:val="30"/>
        </w:numPr>
        <w:spacing w:after="0"/>
        <w:ind w:left="709" w:hanging="709"/>
        <w:outlineLvl w:val="0"/>
        <w:rPr>
          <w:rFonts w:ascii="Verdana" w:hAnsi="Verdana"/>
          <w:bCs/>
          <w:sz w:val="20"/>
          <w:szCs w:val="20"/>
        </w:rPr>
      </w:pPr>
      <w:r w:rsidRPr="002639DA">
        <w:rPr>
          <w:rFonts w:ascii="Verdana" w:hAnsi="Verdana"/>
          <w:bCs/>
          <w:sz w:val="20"/>
          <w:szCs w:val="20"/>
        </w:rPr>
        <w:t xml:space="preserve">the </w:t>
      </w:r>
      <w:r>
        <w:rPr>
          <w:rFonts w:ascii="Verdana" w:hAnsi="Verdana"/>
          <w:bCs/>
          <w:sz w:val="20"/>
          <w:szCs w:val="20"/>
        </w:rPr>
        <w:t>appointment</w:t>
      </w:r>
      <w:r w:rsidRPr="002639DA">
        <w:rPr>
          <w:rFonts w:ascii="Verdana" w:hAnsi="Verdana"/>
          <w:bCs/>
          <w:sz w:val="20"/>
          <w:szCs w:val="20"/>
        </w:rPr>
        <w:t xml:space="preserve"> of NEDs known to be fulfilling </w:t>
      </w:r>
      <w:r w:rsidRPr="00E9007D">
        <w:rPr>
          <w:rFonts w:ascii="Verdana" w:hAnsi="Verdana"/>
          <w:bCs/>
          <w:sz w:val="20"/>
          <w:szCs w:val="20"/>
        </w:rPr>
        <w:t>multiple other directorships</w:t>
      </w:r>
      <w:r>
        <w:rPr>
          <w:rFonts w:ascii="Verdana" w:hAnsi="Verdana"/>
          <w:bCs/>
          <w:sz w:val="20"/>
          <w:szCs w:val="20"/>
        </w:rPr>
        <w:t>;</w:t>
      </w:r>
    </w:p>
    <w:p w:rsidR="00A06343" w:rsidRPr="00E44745" w:rsidRDefault="00887DDF" w:rsidP="00A06343">
      <w:pPr>
        <w:pStyle w:val="ListParagraph"/>
        <w:widowControl w:val="0"/>
        <w:numPr>
          <w:ilvl w:val="0"/>
          <w:numId w:val="30"/>
        </w:numPr>
        <w:spacing w:after="0" w:line="240" w:lineRule="auto"/>
        <w:ind w:left="709" w:hanging="709"/>
        <w:contextualSpacing w:val="0"/>
        <w:outlineLvl w:val="0"/>
        <w:rPr>
          <w:rFonts w:ascii="Verdana" w:hAnsi="Verdana"/>
          <w:bCs/>
          <w:sz w:val="20"/>
          <w:szCs w:val="20"/>
        </w:rPr>
      </w:pPr>
      <w:r>
        <w:rPr>
          <w:rFonts w:ascii="Verdana" w:hAnsi="Verdana"/>
          <w:bCs/>
          <w:sz w:val="20"/>
          <w:szCs w:val="20"/>
        </w:rPr>
        <w:t>Non-Executive Director</w:t>
      </w:r>
      <w:r w:rsidRPr="00E44745">
        <w:rPr>
          <w:rFonts w:ascii="Verdana" w:hAnsi="Verdana"/>
          <w:bCs/>
          <w:sz w:val="20"/>
          <w:szCs w:val="20"/>
        </w:rPr>
        <w:t xml:space="preserve"> </w:t>
      </w:r>
      <w:r>
        <w:rPr>
          <w:rFonts w:ascii="Verdana" w:hAnsi="Verdana"/>
          <w:bCs/>
          <w:sz w:val="20"/>
          <w:szCs w:val="20"/>
        </w:rPr>
        <w:t>(NED</w:t>
      </w:r>
      <w:r w:rsidRPr="00E44745">
        <w:rPr>
          <w:rFonts w:ascii="Verdana" w:hAnsi="Verdana"/>
          <w:bCs/>
          <w:sz w:val="20"/>
          <w:szCs w:val="20"/>
        </w:rPr>
        <w:t xml:space="preserve">) </w:t>
      </w:r>
      <w:r>
        <w:rPr>
          <w:rFonts w:ascii="Verdana" w:hAnsi="Verdana"/>
          <w:bCs/>
          <w:sz w:val="20"/>
          <w:szCs w:val="20"/>
        </w:rPr>
        <w:t xml:space="preserve">nominees lacking </w:t>
      </w:r>
      <w:r w:rsidR="00A06343" w:rsidRPr="00E44745">
        <w:rPr>
          <w:rFonts w:ascii="Verdana" w:hAnsi="Verdana"/>
          <w:bCs/>
          <w:sz w:val="20"/>
          <w:szCs w:val="20"/>
        </w:rPr>
        <w:t>independence</w:t>
      </w:r>
      <w:r>
        <w:rPr>
          <w:rFonts w:ascii="Verdana" w:hAnsi="Verdana"/>
          <w:bCs/>
          <w:sz w:val="20"/>
          <w:szCs w:val="20"/>
        </w:rPr>
        <w:t xml:space="preserve"> through</w:t>
      </w:r>
      <w:r w:rsidR="00A06343" w:rsidRPr="00E44745">
        <w:rPr>
          <w:rFonts w:ascii="Verdana" w:hAnsi="Verdana"/>
          <w:bCs/>
          <w:sz w:val="20"/>
          <w:szCs w:val="20"/>
        </w:rPr>
        <w:t xml:space="preserve"> </w:t>
      </w:r>
      <w:r w:rsidR="00A6170F">
        <w:rPr>
          <w:rFonts w:ascii="Verdana" w:hAnsi="Verdana"/>
          <w:bCs/>
          <w:sz w:val="20"/>
          <w:szCs w:val="20"/>
        </w:rPr>
        <w:t xml:space="preserve">their </w:t>
      </w:r>
      <w:r w:rsidR="00A06343" w:rsidRPr="00E44745">
        <w:rPr>
          <w:rFonts w:ascii="Verdana" w:hAnsi="Verdana"/>
          <w:bCs/>
          <w:sz w:val="20"/>
          <w:szCs w:val="20"/>
        </w:rPr>
        <w:t>length of tenure</w:t>
      </w:r>
      <w:r w:rsidR="00E44745" w:rsidRPr="00E44745">
        <w:rPr>
          <w:rFonts w:ascii="Verdana" w:hAnsi="Verdana"/>
          <w:bCs/>
          <w:sz w:val="20"/>
          <w:szCs w:val="20"/>
        </w:rPr>
        <w:t xml:space="preserve"> or </w:t>
      </w:r>
      <w:r w:rsidR="00A6170F">
        <w:rPr>
          <w:rFonts w:ascii="Verdana" w:hAnsi="Verdana"/>
          <w:bCs/>
          <w:sz w:val="20"/>
          <w:szCs w:val="20"/>
        </w:rPr>
        <w:t xml:space="preserve">other </w:t>
      </w:r>
      <w:r w:rsidR="00E44745" w:rsidRPr="00E44745">
        <w:rPr>
          <w:rFonts w:ascii="Verdana" w:hAnsi="Verdana"/>
          <w:bCs/>
          <w:sz w:val="20"/>
          <w:szCs w:val="20"/>
        </w:rPr>
        <w:t>conflict</w:t>
      </w:r>
      <w:r>
        <w:rPr>
          <w:rFonts w:ascii="Verdana" w:hAnsi="Verdana"/>
          <w:bCs/>
          <w:sz w:val="20"/>
          <w:szCs w:val="20"/>
        </w:rPr>
        <w:t>s of interest</w:t>
      </w:r>
      <w:r w:rsidR="004E3EBA">
        <w:rPr>
          <w:rFonts w:ascii="Verdana" w:hAnsi="Verdana"/>
          <w:bCs/>
          <w:sz w:val="20"/>
          <w:szCs w:val="20"/>
        </w:rPr>
        <w:t>;</w:t>
      </w:r>
    </w:p>
    <w:p w:rsidR="00197BA3" w:rsidRPr="00E44745" w:rsidRDefault="00197BA3" w:rsidP="00E44745">
      <w:pPr>
        <w:pStyle w:val="ListParagraph"/>
        <w:widowControl w:val="0"/>
        <w:numPr>
          <w:ilvl w:val="0"/>
          <w:numId w:val="30"/>
        </w:numPr>
        <w:spacing w:after="0" w:line="240" w:lineRule="auto"/>
        <w:ind w:left="709" w:hanging="709"/>
        <w:contextualSpacing w:val="0"/>
        <w:outlineLvl w:val="0"/>
        <w:rPr>
          <w:rFonts w:ascii="Verdana" w:hAnsi="Verdana"/>
          <w:bCs/>
          <w:sz w:val="20"/>
          <w:szCs w:val="20"/>
        </w:rPr>
      </w:pPr>
      <w:r w:rsidRPr="00E44745">
        <w:rPr>
          <w:rFonts w:ascii="Verdana" w:hAnsi="Verdana"/>
          <w:bCs/>
          <w:sz w:val="20"/>
          <w:szCs w:val="20"/>
        </w:rPr>
        <w:t>executive remuneration</w:t>
      </w:r>
      <w:r w:rsidR="00A06343" w:rsidRPr="00E44745">
        <w:rPr>
          <w:rFonts w:ascii="Verdana" w:hAnsi="Verdana"/>
          <w:bCs/>
          <w:sz w:val="20"/>
          <w:szCs w:val="20"/>
        </w:rPr>
        <w:t xml:space="preserve"> arrangements</w:t>
      </w:r>
      <w:r w:rsidR="00E44745" w:rsidRPr="00E44745">
        <w:rPr>
          <w:rFonts w:ascii="Verdana" w:hAnsi="Verdana"/>
          <w:bCs/>
          <w:sz w:val="20"/>
          <w:szCs w:val="20"/>
        </w:rPr>
        <w:t xml:space="preserve"> </w:t>
      </w:r>
      <w:r w:rsidR="004E3EBA">
        <w:rPr>
          <w:rFonts w:ascii="Verdana" w:hAnsi="Verdana"/>
          <w:bCs/>
          <w:sz w:val="20"/>
          <w:szCs w:val="20"/>
        </w:rPr>
        <w:t>lacking</w:t>
      </w:r>
      <w:r w:rsidR="00E44745">
        <w:rPr>
          <w:rFonts w:ascii="Verdana" w:hAnsi="Verdana"/>
          <w:bCs/>
          <w:sz w:val="20"/>
          <w:szCs w:val="20"/>
        </w:rPr>
        <w:t xml:space="preserve"> </w:t>
      </w:r>
      <w:r w:rsidR="00E44745" w:rsidRPr="00E44745">
        <w:rPr>
          <w:rFonts w:ascii="Verdana" w:hAnsi="Verdana"/>
          <w:bCs/>
          <w:sz w:val="20"/>
          <w:szCs w:val="20"/>
        </w:rPr>
        <w:t>adequate checks on excessive pay</w:t>
      </w:r>
      <w:r w:rsidR="00E44745">
        <w:rPr>
          <w:rFonts w:ascii="Verdana" w:hAnsi="Verdana"/>
          <w:bCs/>
          <w:sz w:val="20"/>
          <w:szCs w:val="20"/>
        </w:rPr>
        <w:t xml:space="preserve"> </w:t>
      </w:r>
      <w:r w:rsidR="00887DDF">
        <w:rPr>
          <w:rFonts w:ascii="Verdana" w:hAnsi="Verdana"/>
          <w:bCs/>
          <w:sz w:val="20"/>
          <w:szCs w:val="20"/>
        </w:rPr>
        <w:t>levels or</w:t>
      </w:r>
      <w:r w:rsidR="00E44745">
        <w:rPr>
          <w:rFonts w:ascii="Verdana" w:hAnsi="Verdana"/>
          <w:bCs/>
          <w:sz w:val="20"/>
          <w:szCs w:val="20"/>
        </w:rPr>
        <w:t xml:space="preserve"> </w:t>
      </w:r>
      <w:r w:rsidR="004E3EBA">
        <w:rPr>
          <w:rFonts w:ascii="Verdana" w:hAnsi="Verdana"/>
          <w:bCs/>
          <w:sz w:val="20"/>
          <w:szCs w:val="20"/>
        </w:rPr>
        <w:t>performance measures</w:t>
      </w:r>
      <w:r w:rsidR="003F57EF">
        <w:rPr>
          <w:rFonts w:ascii="Verdana" w:hAnsi="Verdana"/>
          <w:bCs/>
          <w:sz w:val="20"/>
          <w:szCs w:val="20"/>
        </w:rPr>
        <w:t xml:space="preserve"> clearly </w:t>
      </w:r>
      <w:r w:rsidR="00E44745">
        <w:rPr>
          <w:rFonts w:ascii="Verdana" w:hAnsi="Verdana"/>
          <w:bCs/>
          <w:sz w:val="20"/>
          <w:szCs w:val="20"/>
        </w:rPr>
        <w:t>aligned with shareholder interests</w:t>
      </w:r>
      <w:r w:rsidR="004E3EBA">
        <w:rPr>
          <w:rFonts w:ascii="Verdana" w:hAnsi="Verdana"/>
          <w:bCs/>
          <w:sz w:val="20"/>
          <w:szCs w:val="20"/>
        </w:rPr>
        <w:t>;</w:t>
      </w:r>
    </w:p>
    <w:p w:rsidR="00197BA3" w:rsidRPr="00E44745" w:rsidRDefault="00197BA3" w:rsidP="003F57EF">
      <w:pPr>
        <w:pStyle w:val="ListParagraph"/>
        <w:widowControl w:val="0"/>
        <w:numPr>
          <w:ilvl w:val="1"/>
          <w:numId w:val="30"/>
        </w:numPr>
        <w:spacing w:after="0" w:line="240" w:lineRule="auto"/>
        <w:ind w:left="709" w:hanging="709"/>
        <w:contextualSpacing w:val="0"/>
        <w:outlineLvl w:val="0"/>
        <w:rPr>
          <w:rFonts w:ascii="Verdana" w:hAnsi="Verdana"/>
          <w:bCs/>
          <w:sz w:val="20"/>
          <w:szCs w:val="20"/>
        </w:rPr>
      </w:pPr>
      <w:r w:rsidRPr="00E44745">
        <w:rPr>
          <w:rFonts w:ascii="Verdana" w:hAnsi="Verdana"/>
          <w:bCs/>
          <w:sz w:val="20"/>
          <w:szCs w:val="20"/>
        </w:rPr>
        <w:t>the re-appointment of auditors</w:t>
      </w:r>
      <w:r w:rsidR="003F57EF">
        <w:rPr>
          <w:rFonts w:ascii="Verdana" w:hAnsi="Verdana"/>
          <w:bCs/>
          <w:sz w:val="20"/>
          <w:szCs w:val="20"/>
        </w:rPr>
        <w:t xml:space="preserve"> where </w:t>
      </w:r>
      <w:r w:rsidR="00E44745">
        <w:rPr>
          <w:rFonts w:ascii="Verdana" w:hAnsi="Verdana"/>
          <w:bCs/>
          <w:sz w:val="20"/>
          <w:szCs w:val="20"/>
        </w:rPr>
        <w:t xml:space="preserve">long </w:t>
      </w:r>
      <w:r w:rsidRPr="00E44745">
        <w:rPr>
          <w:rFonts w:ascii="Verdana" w:hAnsi="Verdana"/>
          <w:bCs/>
          <w:sz w:val="20"/>
          <w:szCs w:val="20"/>
        </w:rPr>
        <w:t>standing</w:t>
      </w:r>
      <w:r w:rsidR="003F57EF">
        <w:rPr>
          <w:rFonts w:ascii="Verdana" w:hAnsi="Verdana"/>
          <w:bCs/>
          <w:sz w:val="20"/>
          <w:szCs w:val="20"/>
        </w:rPr>
        <w:t xml:space="preserve"> relationships</w:t>
      </w:r>
      <w:r w:rsidR="00E44745" w:rsidRPr="00E44745">
        <w:rPr>
          <w:rFonts w:ascii="Verdana" w:hAnsi="Verdana"/>
          <w:bCs/>
          <w:sz w:val="20"/>
          <w:szCs w:val="20"/>
        </w:rPr>
        <w:t xml:space="preserve"> </w:t>
      </w:r>
      <w:r w:rsidR="00E44745">
        <w:rPr>
          <w:rFonts w:ascii="Verdana" w:hAnsi="Verdana"/>
          <w:bCs/>
          <w:sz w:val="20"/>
          <w:szCs w:val="20"/>
        </w:rPr>
        <w:t>or non-audit fee</w:t>
      </w:r>
      <w:r w:rsidR="003F57EF">
        <w:rPr>
          <w:rFonts w:ascii="Verdana" w:hAnsi="Verdana"/>
          <w:bCs/>
          <w:sz w:val="20"/>
          <w:szCs w:val="20"/>
        </w:rPr>
        <w:t xml:space="preserve"> levels poten</w:t>
      </w:r>
      <w:r w:rsidR="00A6170F">
        <w:rPr>
          <w:rFonts w:ascii="Verdana" w:hAnsi="Verdana"/>
          <w:bCs/>
          <w:sz w:val="20"/>
          <w:szCs w:val="20"/>
        </w:rPr>
        <w:t xml:space="preserve">tially compromise </w:t>
      </w:r>
      <w:r w:rsidR="003F57EF">
        <w:rPr>
          <w:rFonts w:ascii="Verdana" w:hAnsi="Verdana"/>
          <w:bCs/>
          <w:sz w:val="20"/>
          <w:szCs w:val="20"/>
        </w:rPr>
        <w:t>objectivity</w:t>
      </w:r>
      <w:r w:rsidR="004E3EBA">
        <w:rPr>
          <w:rFonts w:ascii="Verdana" w:hAnsi="Verdana"/>
          <w:bCs/>
          <w:sz w:val="20"/>
          <w:szCs w:val="20"/>
        </w:rPr>
        <w:t>;</w:t>
      </w:r>
    </w:p>
    <w:p w:rsidR="00A06343" w:rsidRDefault="00A06343" w:rsidP="00197BA3">
      <w:pPr>
        <w:widowControl w:val="0"/>
        <w:spacing w:after="0"/>
        <w:outlineLvl w:val="0"/>
        <w:rPr>
          <w:rFonts w:ascii="Verdana" w:hAnsi="Verdana"/>
          <w:bCs/>
          <w:sz w:val="20"/>
          <w:szCs w:val="20"/>
        </w:rPr>
      </w:pPr>
    </w:p>
    <w:p w:rsidR="00E9007D" w:rsidRDefault="00160F73" w:rsidP="009E0790">
      <w:pPr>
        <w:spacing w:after="0"/>
        <w:rPr>
          <w:rFonts w:ascii="Verdana" w:hAnsi="Verdana" w:cs="NimbusSanL-Regu"/>
          <w:color w:val="323232"/>
          <w:sz w:val="20"/>
          <w:szCs w:val="20"/>
        </w:rPr>
      </w:pPr>
      <w:r>
        <w:rPr>
          <w:rFonts w:ascii="Verdana" w:hAnsi="Verdana" w:cs="NimbusSanL-Bold"/>
          <w:bCs/>
          <w:sz w:val="20"/>
          <w:szCs w:val="20"/>
        </w:rPr>
        <w:t xml:space="preserve">There were </w:t>
      </w:r>
      <w:r w:rsidR="00555677">
        <w:rPr>
          <w:rFonts w:ascii="Verdana" w:hAnsi="Verdana" w:cs="NimbusSanL-Bold"/>
          <w:bCs/>
          <w:sz w:val="20"/>
          <w:szCs w:val="20"/>
        </w:rPr>
        <w:t xml:space="preserve">comparable </w:t>
      </w:r>
      <w:r w:rsidR="00297DEB" w:rsidRPr="00E9007D">
        <w:rPr>
          <w:rFonts w:ascii="Verdana" w:hAnsi="Verdana" w:cs="NimbusSanL-Bold"/>
          <w:bCs/>
          <w:sz w:val="20"/>
          <w:szCs w:val="20"/>
        </w:rPr>
        <w:t xml:space="preserve">Shareholder Resolutions on </w:t>
      </w:r>
      <w:r w:rsidR="002D6706">
        <w:rPr>
          <w:rFonts w:ascii="Verdana" w:hAnsi="Verdana" w:cs="NimbusSanL-ReguItal"/>
          <w:sz w:val="20"/>
          <w:szCs w:val="20"/>
        </w:rPr>
        <w:t>gender pay e</w:t>
      </w:r>
      <w:r w:rsidR="00297DEB" w:rsidRPr="00E9007D">
        <w:rPr>
          <w:rFonts w:ascii="Verdana" w:hAnsi="Verdana" w:cs="NimbusSanL-ReguItal"/>
          <w:sz w:val="20"/>
          <w:szCs w:val="20"/>
        </w:rPr>
        <w:t>quality</w:t>
      </w:r>
      <w:r w:rsidR="009E0790" w:rsidRPr="00E9007D">
        <w:rPr>
          <w:rFonts w:ascii="Verdana" w:hAnsi="Verdana" w:cs="NimbusSanL-ReguItal"/>
          <w:sz w:val="20"/>
          <w:szCs w:val="20"/>
        </w:rPr>
        <w:t xml:space="preserve"> </w:t>
      </w:r>
      <w:r w:rsidR="00873CFD">
        <w:rPr>
          <w:rFonts w:ascii="Verdana" w:hAnsi="Verdana" w:cs="NimbusSanL-ReguItal"/>
          <w:sz w:val="20"/>
          <w:szCs w:val="20"/>
        </w:rPr>
        <w:t xml:space="preserve">at </w:t>
      </w:r>
      <w:r>
        <w:rPr>
          <w:rFonts w:ascii="Verdana" w:hAnsi="Verdana" w:cs="NimbusSanL-ReguItal"/>
          <w:sz w:val="20"/>
          <w:szCs w:val="20"/>
        </w:rPr>
        <w:t>4 company AGMs</w:t>
      </w:r>
      <w:r w:rsidRPr="00160F73">
        <w:rPr>
          <w:rFonts w:ascii="Verdana" w:hAnsi="Verdana" w:cs="NimbusSanL-Bold"/>
          <w:bCs/>
          <w:sz w:val="20"/>
          <w:szCs w:val="20"/>
        </w:rPr>
        <w:t xml:space="preserve"> </w:t>
      </w:r>
      <w:r>
        <w:rPr>
          <w:rFonts w:ascii="Verdana" w:hAnsi="Verdana" w:cs="NimbusSanL-Bold"/>
          <w:bCs/>
          <w:sz w:val="20"/>
          <w:szCs w:val="20"/>
        </w:rPr>
        <w:t>within Quarter 2</w:t>
      </w:r>
      <w:r w:rsidR="00A6170F">
        <w:rPr>
          <w:rFonts w:ascii="Verdana" w:hAnsi="Verdana" w:cs="NimbusSanL-ReguItal"/>
          <w:sz w:val="20"/>
          <w:szCs w:val="20"/>
        </w:rPr>
        <w:t xml:space="preserve">. In each case </w:t>
      </w:r>
      <w:r w:rsidR="00343C9E">
        <w:rPr>
          <w:rFonts w:ascii="Verdana" w:hAnsi="Verdana" w:cs="NimbusSanL-ReguItal"/>
          <w:sz w:val="20"/>
          <w:szCs w:val="20"/>
        </w:rPr>
        <w:t xml:space="preserve">the proponents </w:t>
      </w:r>
      <w:r w:rsidR="004E3EBA">
        <w:rPr>
          <w:rFonts w:ascii="Verdana" w:hAnsi="Verdana" w:cs="NimbusSanL-ReguItal"/>
          <w:sz w:val="20"/>
          <w:szCs w:val="20"/>
        </w:rPr>
        <w:t xml:space="preserve">requested </w:t>
      </w:r>
      <w:r w:rsidR="00343C9E">
        <w:rPr>
          <w:rFonts w:ascii="Verdana" w:hAnsi="Verdana" w:cs="NimbusSanL-Regu"/>
          <w:color w:val="323232"/>
          <w:sz w:val="20"/>
          <w:szCs w:val="20"/>
        </w:rPr>
        <w:t>the Company produce</w:t>
      </w:r>
      <w:r w:rsidR="009E0790" w:rsidRPr="00E9007D">
        <w:rPr>
          <w:rFonts w:ascii="Verdana" w:hAnsi="Verdana" w:cs="NimbusSanL-Regu"/>
          <w:color w:val="323232"/>
          <w:sz w:val="20"/>
          <w:szCs w:val="20"/>
        </w:rPr>
        <w:t xml:space="preserve"> </w:t>
      </w:r>
      <w:r w:rsidR="00343C9E">
        <w:rPr>
          <w:rFonts w:ascii="Verdana" w:hAnsi="Verdana" w:cs="NimbusSanL-ReguItal"/>
          <w:sz w:val="20"/>
          <w:szCs w:val="20"/>
        </w:rPr>
        <w:t xml:space="preserve">a </w:t>
      </w:r>
      <w:r w:rsidR="00343C9E" w:rsidRPr="00E9007D">
        <w:rPr>
          <w:rFonts w:ascii="Verdana" w:hAnsi="Verdana" w:cs="NimbusSanL-ReguItal"/>
          <w:sz w:val="20"/>
          <w:szCs w:val="20"/>
        </w:rPr>
        <w:t xml:space="preserve">report </w:t>
      </w:r>
      <w:r w:rsidR="00343C9E" w:rsidRPr="00E9007D">
        <w:rPr>
          <w:rFonts w:ascii="Verdana" w:hAnsi="Verdana" w:cs="NimbusSanL-Regu"/>
          <w:color w:val="323232"/>
          <w:sz w:val="20"/>
          <w:szCs w:val="20"/>
        </w:rPr>
        <w:t xml:space="preserve">on </w:t>
      </w:r>
      <w:r w:rsidR="00343C9E">
        <w:rPr>
          <w:rFonts w:ascii="Verdana" w:hAnsi="Verdana" w:cs="NimbusSanL-Regu"/>
          <w:color w:val="323232"/>
          <w:sz w:val="20"/>
          <w:szCs w:val="20"/>
        </w:rPr>
        <w:t xml:space="preserve">their </w:t>
      </w:r>
      <w:r w:rsidR="009E0790" w:rsidRPr="00E9007D">
        <w:rPr>
          <w:rFonts w:ascii="Verdana" w:hAnsi="Verdana" w:cs="NimbusSanL-Regu"/>
          <w:color w:val="323232"/>
          <w:sz w:val="20"/>
          <w:szCs w:val="20"/>
        </w:rPr>
        <w:t xml:space="preserve">policies and goals to reduce the gender pay gap defined as the difference </w:t>
      </w:r>
      <w:r w:rsidR="009E0790" w:rsidRPr="00E9007D">
        <w:rPr>
          <w:rFonts w:ascii="Verdana" w:hAnsi="Verdana" w:cs="NimbusSanL-Regu"/>
          <w:color w:val="323232"/>
          <w:sz w:val="20"/>
          <w:szCs w:val="20"/>
        </w:rPr>
        <w:lastRenderedPageBreak/>
        <w:t xml:space="preserve">between male and female earnings. PIRC </w:t>
      </w:r>
      <w:r w:rsidR="00E9007D">
        <w:rPr>
          <w:rFonts w:ascii="Verdana" w:hAnsi="Verdana" w:cs="NimbusSanL-Regu"/>
          <w:color w:val="323232"/>
          <w:sz w:val="20"/>
          <w:szCs w:val="20"/>
        </w:rPr>
        <w:t xml:space="preserve">reviewed </w:t>
      </w:r>
      <w:r w:rsidR="009E0790" w:rsidRPr="00E9007D">
        <w:rPr>
          <w:rFonts w:ascii="Verdana" w:hAnsi="Verdana" w:cs="NimbusSanL-Regu"/>
          <w:color w:val="323232"/>
          <w:sz w:val="20"/>
          <w:szCs w:val="20"/>
        </w:rPr>
        <w:t xml:space="preserve">each resolution as </w:t>
      </w:r>
      <w:r w:rsidR="004E3EBA">
        <w:rPr>
          <w:rFonts w:ascii="Verdana" w:hAnsi="Verdana" w:cs="NimbusSanL-Regu"/>
          <w:color w:val="323232"/>
          <w:sz w:val="20"/>
          <w:szCs w:val="20"/>
        </w:rPr>
        <w:t xml:space="preserve">an </w:t>
      </w:r>
      <w:r w:rsidR="009E0790" w:rsidRPr="00E9007D">
        <w:rPr>
          <w:rFonts w:ascii="Verdana" w:hAnsi="Verdana" w:cs="NimbusSanL-Regu"/>
          <w:color w:val="323232"/>
          <w:sz w:val="20"/>
          <w:szCs w:val="20"/>
        </w:rPr>
        <w:t>individual case</w:t>
      </w:r>
      <w:r w:rsidR="00343C9E">
        <w:rPr>
          <w:rFonts w:ascii="Verdana" w:hAnsi="Verdana" w:cs="NimbusSanL-Regu"/>
          <w:color w:val="323232"/>
          <w:sz w:val="20"/>
          <w:szCs w:val="20"/>
        </w:rPr>
        <w:t xml:space="preserve"> and </w:t>
      </w:r>
      <w:r w:rsidR="004E3EBA">
        <w:rPr>
          <w:rFonts w:ascii="Verdana" w:hAnsi="Verdana" w:cs="NimbusSanL-Regu"/>
          <w:color w:val="323232"/>
          <w:sz w:val="20"/>
          <w:szCs w:val="20"/>
        </w:rPr>
        <w:t xml:space="preserve">considered </w:t>
      </w:r>
      <w:r w:rsidR="009E0790" w:rsidRPr="00E9007D">
        <w:rPr>
          <w:rFonts w:ascii="Verdana" w:hAnsi="Verdana" w:cs="NimbusSanL-Regu"/>
          <w:color w:val="323232"/>
          <w:sz w:val="20"/>
          <w:szCs w:val="20"/>
        </w:rPr>
        <w:t xml:space="preserve">the performance of </w:t>
      </w:r>
      <w:r w:rsidR="00555677">
        <w:rPr>
          <w:rFonts w:ascii="Verdana" w:hAnsi="Verdana" w:cs="NimbusSanL-Regu"/>
          <w:color w:val="323232"/>
          <w:sz w:val="20"/>
          <w:szCs w:val="20"/>
        </w:rPr>
        <w:t>the</w:t>
      </w:r>
      <w:r w:rsidR="009E0790" w:rsidRPr="00E9007D">
        <w:rPr>
          <w:rFonts w:ascii="Verdana" w:hAnsi="Verdana" w:cs="NimbusSanL-Regu"/>
          <w:color w:val="323232"/>
          <w:sz w:val="20"/>
          <w:szCs w:val="20"/>
        </w:rPr>
        <w:t xml:space="preserve"> </w:t>
      </w:r>
      <w:r w:rsidR="00343C9E">
        <w:rPr>
          <w:rFonts w:ascii="Verdana" w:hAnsi="Verdana" w:cs="NimbusSanL-Regu"/>
          <w:color w:val="323232"/>
          <w:sz w:val="20"/>
          <w:szCs w:val="20"/>
        </w:rPr>
        <w:t xml:space="preserve">company </w:t>
      </w:r>
      <w:r w:rsidR="009E0790" w:rsidRPr="00E9007D">
        <w:rPr>
          <w:rFonts w:ascii="Verdana" w:hAnsi="Verdana" w:cs="NimbusSanL-Regu"/>
          <w:color w:val="323232"/>
          <w:sz w:val="20"/>
          <w:szCs w:val="20"/>
        </w:rPr>
        <w:t xml:space="preserve">Board </w:t>
      </w:r>
      <w:r w:rsidR="00343C9E">
        <w:rPr>
          <w:rFonts w:ascii="Verdana" w:hAnsi="Verdana" w:cs="NimbusSanL-Regu"/>
          <w:color w:val="323232"/>
          <w:sz w:val="20"/>
          <w:szCs w:val="20"/>
        </w:rPr>
        <w:t>on gender pay issues</w:t>
      </w:r>
      <w:r w:rsidR="00536E3C">
        <w:rPr>
          <w:rFonts w:ascii="Verdana" w:hAnsi="Verdana" w:cs="NimbusSanL-Regu"/>
          <w:color w:val="323232"/>
          <w:sz w:val="20"/>
          <w:szCs w:val="20"/>
        </w:rPr>
        <w:t xml:space="preserve">, their </w:t>
      </w:r>
      <w:r w:rsidR="00555677">
        <w:rPr>
          <w:rFonts w:ascii="Verdana" w:hAnsi="Verdana" w:cs="NimbusSanL-Regu"/>
          <w:color w:val="323232"/>
          <w:sz w:val="20"/>
          <w:szCs w:val="20"/>
        </w:rPr>
        <w:t xml:space="preserve">formal </w:t>
      </w:r>
      <w:r w:rsidR="00536E3C">
        <w:rPr>
          <w:rFonts w:ascii="Verdana" w:hAnsi="Verdana" w:cs="NimbusSanL-Regu"/>
          <w:color w:val="323232"/>
          <w:sz w:val="20"/>
          <w:szCs w:val="20"/>
        </w:rPr>
        <w:t xml:space="preserve">response to the shareholder resolution and </w:t>
      </w:r>
      <w:r w:rsidR="009E0790" w:rsidRPr="00E9007D">
        <w:rPr>
          <w:rFonts w:ascii="Verdana" w:hAnsi="Verdana" w:cs="NimbusSanL-Regu"/>
          <w:color w:val="323232"/>
          <w:sz w:val="20"/>
          <w:szCs w:val="20"/>
        </w:rPr>
        <w:t xml:space="preserve">the reasonableness of the </w:t>
      </w:r>
      <w:r w:rsidR="00E9007D" w:rsidRPr="00E9007D">
        <w:rPr>
          <w:rFonts w:ascii="Verdana" w:hAnsi="Verdana" w:cs="NimbusSanL-Regu"/>
          <w:color w:val="323232"/>
          <w:sz w:val="20"/>
          <w:szCs w:val="20"/>
        </w:rPr>
        <w:t xml:space="preserve">deadline </w:t>
      </w:r>
      <w:r w:rsidR="00E9007D">
        <w:rPr>
          <w:rFonts w:ascii="Verdana" w:hAnsi="Verdana" w:cs="NimbusSanL-Regu"/>
          <w:color w:val="323232"/>
          <w:sz w:val="20"/>
          <w:szCs w:val="20"/>
        </w:rPr>
        <w:t>given</w:t>
      </w:r>
      <w:r w:rsidR="00250BB6">
        <w:rPr>
          <w:rFonts w:ascii="Verdana" w:hAnsi="Verdana" w:cs="NimbusSanL-Regu"/>
          <w:color w:val="323232"/>
          <w:sz w:val="20"/>
          <w:szCs w:val="20"/>
        </w:rPr>
        <w:t xml:space="preserve"> for producing the </w:t>
      </w:r>
      <w:r>
        <w:rPr>
          <w:rFonts w:ascii="Verdana" w:hAnsi="Verdana" w:cs="NimbusSanL-Regu"/>
          <w:color w:val="323232"/>
          <w:sz w:val="20"/>
          <w:szCs w:val="20"/>
        </w:rPr>
        <w:t xml:space="preserve">requested </w:t>
      </w:r>
      <w:r w:rsidR="00250BB6">
        <w:rPr>
          <w:rFonts w:ascii="Verdana" w:hAnsi="Verdana" w:cs="NimbusSanL-Regu"/>
          <w:color w:val="323232"/>
          <w:sz w:val="20"/>
          <w:szCs w:val="20"/>
        </w:rPr>
        <w:t>report</w:t>
      </w:r>
      <w:r w:rsidR="00E9007D" w:rsidRPr="00E9007D">
        <w:rPr>
          <w:rFonts w:ascii="Verdana" w:hAnsi="Verdana" w:cs="NimbusSanL-Regu"/>
          <w:color w:val="323232"/>
          <w:sz w:val="20"/>
          <w:szCs w:val="20"/>
        </w:rPr>
        <w:t>.</w:t>
      </w:r>
      <w:r w:rsidR="004E3EBA">
        <w:rPr>
          <w:rFonts w:ascii="Verdana" w:hAnsi="Verdana" w:cs="NimbusSanL-Regu"/>
          <w:color w:val="323232"/>
          <w:sz w:val="20"/>
          <w:szCs w:val="20"/>
        </w:rPr>
        <w:t xml:space="preserve"> Voting on behalf of LCPF was as follows:</w:t>
      </w:r>
    </w:p>
    <w:p w:rsidR="00E9007D" w:rsidRPr="00E9007D" w:rsidRDefault="00E9007D" w:rsidP="009E0790">
      <w:pPr>
        <w:spacing w:after="0"/>
        <w:rPr>
          <w:rFonts w:ascii="Verdana" w:hAnsi="Verdana" w:cs="NimbusSanL-Regu"/>
          <w:color w:val="323232"/>
          <w:sz w:val="20"/>
          <w:szCs w:val="20"/>
        </w:rPr>
      </w:pPr>
    </w:p>
    <w:tbl>
      <w:tblPr>
        <w:tblW w:w="9088" w:type="dxa"/>
        <w:tblInd w:w="-5" w:type="dxa"/>
        <w:tblLook w:val="04A0" w:firstRow="1" w:lastRow="0" w:firstColumn="1" w:lastColumn="0" w:noHBand="0" w:noVBand="1"/>
      </w:tblPr>
      <w:tblGrid>
        <w:gridCol w:w="2098"/>
        <w:gridCol w:w="6022"/>
        <w:gridCol w:w="968"/>
      </w:tblGrid>
      <w:tr w:rsidR="00E9007D" w:rsidRPr="004E3EBA" w:rsidTr="00A6170F">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07D" w:rsidRPr="004E3EBA" w:rsidRDefault="00E9007D" w:rsidP="00E9007D">
            <w:pPr>
              <w:spacing w:after="0" w:line="240" w:lineRule="auto"/>
              <w:rPr>
                <w:rFonts w:ascii="Verdana" w:eastAsia="Times New Roman" w:hAnsi="Verdana" w:cs="Times New Roman"/>
                <w:b/>
                <w:color w:val="000000"/>
                <w:sz w:val="20"/>
                <w:szCs w:val="20"/>
                <w:lang w:eastAsia="en-GB"/>
              </w:rPr>
            </w:pPr>
            <w:r w:rsidRPr="004E3EBA">
              <w:rPr>
                <w:rFonts w:ascii="Verdana" w:eastAsia="Times New Roman" w:hAnsi="Verdana" w:cs="Times New Roman"/>
                <w:b/>
                <w:color w:val="000000"/>
                <w:sz w:val="20"/>
                <w:szCs w:val="20"/>
                <w:lang w:eastAsia="en-GB"/>
              </w:rPr>
              <w:t> Company</w:t>
            </w:r>
            <w:r w:rsidR="00A6170F">
              <w:rPr>
                <w:rFonts w:ascii="Verdana" w:eastAsia="Times New Roman" w:hAnsi="Verdana" w:cs="Times New Roman"/>
                <w:b/>
                <w:color w:val="000000"/>
                <w:sz w:val="20"/>
                <w:szCs w:val="20"/>
                <w:lang w:eastAsia="en-GB"/>
              </w:rPr>
              <w:t xml:space="preserve"> AGM</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160F73" w:rsidRDefault="004E3EBA" w:rsidP="00160F73">
            <w:pPr>
              <w:spacing w:after="0" w:line="240" w:lineRule="auto"/>
              <w:rPr>
                <w:rFonts w:ascii="Verdana" w:eastAsia="Times New Roman" w:hAnsi="Verdana" w:cs="Times New Roman"/>
                <w:b/>
                <w:color w:val="000000"/>
                <w:sz w:val="20"/>
                <w:szCs w:val="20"/>
                <w:lang w:eastAsia="en-GB"/>
              </w:rPr>
            </w:pPr>
            <w:r w:rsidRPr="004E3EBA">
              <w:rPr>
                <w:rFonts w:ascii="Verdana" w:eastAsia="Times New Roman" w:hAnsi="Verdana" w:cs="Times New Roman"/>
                <w:b/>
                <w:color w:val="000000"/>
                <w:sz w:val="20"/>
                <w:szCs w:val="20"/>
                <w:lang w:eastAsia="en-GB"/>
              </w:rPr>
              <w:t xml:space="preserve">PIRC Voting </w:t>
            </w:r>
            <w:r w:rsidR="00E9007D" w:rsidRPr="004E3EBA">
              <w:rPr>
                <w:rFonts w:ascii="Verdana" w:eastAsia="Times New Roman" w:hAnsi="Verdana" w:cs="Times New Roman"/>
                <w:b/>
                <w:color w:val="000000"/>
                <w:sz w:val="20"/>
                <w:szCs w:val="20"/>
                <w:lang w:eastAsia="en-GB"/>
              </w:rPr>
              <w:t>Rationale</w:t>
            </w:r>
            <w:r w:rsidR="00A6170F">
              <w:rPr>
                <w:rFonts w:ascii="Verdana" w:eastAsia="Times New Roman" w:hAnsi="Verdana" w:cs="Times New Roman"/>
                <w:b/>
                <w:color w:val="000000"/>
                <w:sz w:val="20"/>
                <w:szCs w:val="20"/>
                <w:lang w:eastAsia="en-GB"/>
              </w:rPr>
              <w:t xml:space="preserve"> </w:t>
            </w:r>
          </w:p>
          <w:p w:rsidR="00E9007D" w:rsidRPr="004E3EBA" w:rsidRDefault="00160F73" w:rsidP="00160F73">
            <w:pPr>
              <w:spacing w:after="0" w:line="240" w:lineRule="auto"/>
              <w:rPr>
                <w:rFonts w:ascii="Verdana" w:eastAsia="Times New Roman" w:hAnsi="Verdana" w:cs="Times New Roman"/>
                <w:b/>
                <w:color w:val="000000"/>
                <w:sz w:val="20"/>
                <w:szCs w:val="20"/>
                <w:lang w:eastAsia="en-GB"/>
              </w:rPr>
            </w:pPr>
            <w:r>
              <w:rPr>
                <w:rFonts w:ascii="Verdana" w:eastAsia="Times New Roman" w:hAnsi="Verdana" w:cs="Times New Roman"/>
                <w:b/>
                <w:color w:val="000000"/>
                <w:sz w:val="20"/>
                <w:szCs w:val="20"/>
                <w:lang w:eastAsia="en-GB"/>
              </w:rPr>
              <w:t>Shareholder Resolutions on</w:t>
            </w:r>
            <w:r w:rsidR="00A6170F">
              <w:rPr>
                <w:rFonts w:ascii="Verdana" w:eastAsia="Times New Roman" w:hAnsi="Verdana" w:cs="Times New Roman"/>
                <w:b/>
                <w:color w:val="000000"/>
                <w:sz w:val="20"/>
                <w:szCs w:val="20"/>
                <w:lang w:eastAsia="en-GB"/>
              </w:rPr>
              <w:t xml:space="preserve"> </w:t>
            </w:r>
            <w:r>
              <w:rPr>
                <w:rFonts w:ascii="Verdana" w:eastAsia="Times New Roman" w:hAnsi="Verdana" w:cs="Times New Roman"/>
                <w:b/>
                <w:color w:val="000000"/>
                <w:sz w:val="20"/>
                <w:szCs w:val="20"/>
                <w:lang w:eastAsia="en-GB"/>
              </w:rPr>
              <w:t xml:space="preserve">Gender </w:t>
            </w:r>
            <w:r w:rsidR="00A6170F">
              <w:rPr>
                <w:rFonts w:ascii="Verdana" w:eastAsia="Times New Roman" w:hAnsi="Verdana" w:cs="Times New Roman"/>
                <w:b/>
                <w:color w:val="000000"/>
                <w:sz w:val="20"/>
                <w:szCs w:val="20"/>
                <w:lang w:eastAsia="en-GB"/>
              </w:rPr>
              <w:t>Pay Equality</w:t>
            </w:r>
          </w:p>
        </w:tc>
        <w:tc>
          <w:tcPr>
            <w:tcW w:w="968" w:type="dxa"/>
            <w:tcBorders>
              <w:top w:val="single" w:sz="4" w:space="0" w:color="auto"/>
              <w:left w:val="nil"/>
              <w:bottom w:val="single" w:sz="4" w:space="0" w:color="auto"/>
              <w:right w:val="single" w:sz="4" w:space="0" w:color="auto"/>
            </w:tcBorders>
            <w:vAlign w:val="bottom"/>
          </w:tcPr>
          <w:p w:rsidR="00E9007D" w:rsidRPr="004E3EBA" w:rsidRDefault="00E9007D" w:rsidP="00E9007D">
            <w:pPr>
              <w:spacing w:after="0" w:line="240" w:lineRule="auto"/>
              <w:rPr>
                <w:rFonts w:ascii="Verdana" w:eastAsia="Times New Roman" w:hAnsi="Verdana" w:cs="Times New Roman"/>
                <w:b/>
                <w:color w:val="000000"/>
                <w:sz w:val="20"/>
                <w:szCs w:val="20"/>
                <w:lang w:eastAsia="en-GB"/>
              </w:rPr>
            </w:pPr>
            <w:r w:rsidRPr="004E3EBA">
              <w:rPr>
                <w:rFonts w:ascii="Verdana" w:eastAsia="Times New Roman" w:hAnsi="Verdana" w:cs="Times New Roman"/>
                <w:b/>
                <w:color w:val="000000"/>
                <w:sz w:val="20"/>
                <w:szCs w:val="20"/>
                <w:lang w:eastAsia="en-GB"/>
              </w:rPr>
              <w:t>Vote</w:t>
            </w:r>
          </w:p>
        </w:tc>
      </w:tr>
      <w:tr w:rsidR="00E9007D" w:rsidRPr="00E9007D" w:rsidTr="00A6170F">
        <w:trPr>
          <w:trHeight w:val="765"/>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9007D" w:rsidRPr="00E9007D" w:rsidRDefault="00E9007D" w:rsidP="00E9007D">
            <w:pPr>
              <w:spacing w:after="0" w:line="240" w:lineRule="auto"/>
              <w:rPr>
                <w:rFonts w:ascii="Verdana" w:eastAsia="Times New Roman" w:hAnsi="Verdana" w:cs="Times New Roman"/>
                <w:color w:val="323232"/>
                <w:sz w:val="20"/>
                <w:szCs w:val="20"/>
                <w:lang w:eastAsia="en-GB"/>
              </w:rPr>
            </w:pPr>
            <w:r w:rsidRPr="00E9007D">
              <w:rPr>
                <w:rFonts w:ascii="Verdana" w:eastAsia="Times New Roman" w:hAnsi="Verdana" w:cs="Times New Roman"/>
                <w:color w:val="323232"/>
                <w:sz w:val="20"/>
                <w:szCs w:val="20"/>
                <w:lang w:eastAsia="en-GB"/>
              </w:rPr>
              <w:t xml:space="preserve"> </w:t>
            </w:r>
            <w:r w:rsidRPr="00E9007D">
              <w:rPr>
                <w:rFonts w:ascii="Verdana" w:eastAsia="Times New Roman" w:hAnsi="Verdana" w:cs="Times New Roman"/>
                <w:color w:val="000000"/>
                <w:sz w:val="20"/>
                <w:szCs w:val="20"/>
                <w:lang w:eastAsia="en-GB"/>
              </w:rPr>
              <w:t>CITIGROUP INC</w:t>
            </w:r>
          </w:p>
        </w:tc>
        <w:tc>
          <w:tcPr>
            <w:tcW w:w="6022" w:type="dxa"/>
            <w:tcBorders>
              <w:top w:val="nil"/>
              <w:left w:val="nil"/>
              <w:bottom w:val="single" w:sz="4" w:space="0" w:color="auto"/>
              <w:right w:val="single" w:sz="4" w:space="0" w:color="auto"/>
            </w:tcBorders>
            <w:shd w:val="clear" w:color="auto" w:fill="auto"/>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 xml:space="preserve">The </w:t>
            </w:r>
            <w:r w:rsidR="00A6170F">
              <w:rPr>
                <w:rFonts w:ascii="Verdana" w:eastAsia="Times New Roman" w:hAnsi="Verdana" w:cs="Times New Roman"/>
                <w:color w:val="000000"/>
                <w:sz w:val="20"/>
                <w:szCs w:val="20"/>
                <w:lang w:eastAsia="en-GB"/>
              </w:rPr>
              <w:t xml:space="preserve">Proponent's </w:t>
            </w:r>
            <w:r w:rsidRPr="00E9007D">
              <w:rPr>
                <w:rFonts w:ascii="Verdana" w:eastAsia="Times New Roman" w:hAnsi="Verdana" w:cs="Times New Roman"/>
                <w:color w:val="000000"/>
                <w:sz w:val="20"/>
                <w:szCs w:val="20"/>
                <w:lang w:eastAsia="en-GB"/>
              </w:rPr>
              <w:t xml:space="preserve">request is reasonable and would </w:t>
            </w:r>
            <w:r w:rsidR="00160F73">
              <w:rPr>
                <w:rFonts w:ascii="Verdana" w:eastAsia="Times New Roman" w:hAnsi="Verdana" w:cs="Times New Roman"/>
                <w:color w:val="000000"/>
                <w:sz w:val="20"/>
                <w:szCs w:val="20"/>
                <w:lang w:eastAsia="en-GB"/>
              </w:rPr>
              <w:t xml:space="preserve">support and </w:t>
            </w:r>
            <w:r w:rsidRPr="00E9007D">
              <w:rPr>
                <w:rFonts w:ascii="Verdana" w:eastAsia="Times New Roman" w:hAnsi="Verdana" w:cs="Times New Roman"/>
                <w:color w:val="000000"/>
                <w:sz w:val="20"/>
                <w:szCs w:val="20"/>
                <w:lang w:eastAsia="en-GB"/>
              </w:rPr>
              <w:t>underpin the Company’s</w:t>
            </w:r>
            <w:r w:rsidR="00160F73">
              <w:rPr>
                <w:rFonts w:ascii="Verdana" w:eastAsia="Times New Roman" w:hAnsi="Verdana" w:cs="Times New Roman"/>
                <w:color w:val="000000"/>
                <w:sz w:val="20"/>
                <w:szCs w:val="20"/>
                <w:lang w:eastAsia="en-GB"/>
              </w:rPr>
              <w:t xml:space="preserve"> efforts in fostering diversity, </w:t>
            </w:r>
            <w:r w:rsidRPr="00E9007D">
              <w:rPr>
                <w:rFonts w:ascii="Verdana" w:eastAsia="Times New Roman" w:hAnsi="Verdana" w:cs="Times New Roman"/>
                <w:color w:val="000000"/>
                <w:sz w:val="20"/>
                <w:szCs w:val="20"/>
                <w:lang w:eastAsia="en-GB"/>
              </w:rPr>
              <w:t>thereby enhancing its reputation</w:t>
            </w:r>
          </w:p>
        </w:tc>
        <w:tc>
          <w:tcPr>
            <w:tcW w:w="968" w:type="dxa"/>
            <w:tcBorders>
              <w:top w:val="nil"/>
              <w:left w:val="nil"/>
              <w:bottom w:val="single" w:sz="4" w:space="0" w:color="auto"/>
              <w:right w:val="single" w:sz="4" w:space="0" w:color="auto"/>
            </w:tcBorders>
            <w:vAlign w:val="center"/>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For</w:t>
            </w:r>
          </w:p>
        </w:tc>
      </w:tr>
      <w:tr w:rsidR="00E9007D" w:rsidRPr="00E9007D" w:rsidTr="00A6170F">
        <w:trPr>
          <w:trHeight w:val="1785"/>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 xml:space="preserve"> eBAY INC.</w:t>
            </w:r>
          </w:p>
        </w:tc>
        <w:tc>
          <w:tcPr>
            <w:tcW w:w="6022" w:type="dxa"/>
            <w:tcBorders>
              <w:top w:val="nil"/>
              <w:left w:val="nil"/>
              <w:bottom w:val="single" w:sz="4" w:space="0" w:color="auto"/>
              <w:right w:val="single" w:sz="4" w:space="0" w:color="auto"/>
            </w:tcBorders>
            <w:shd w:val="clear" w:color="auto" w:fill="auto"/>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The Proponent’s request is reasonable as, while the Company does have information on the ratio of male to female workers, it does not include anything about the gender pay ratio at the Company. However, the Proponent specifies that the report should be readily available by September 2016, which is considered too short notice for the Company to properly implement.</w:t>
            </w:r>
          </w:p>
        </w:tc>
        <w:tc>
          <w:tcPr>
            <w:tcW w:w="968" w:type="dxa"/>
            <w:tcBorders>
              <w:top w:val="nil"/>
              <w:left w:val="nil"/>
              <w:bottom w:val="single" w:sz="4" w:space="0" w:color="auto"/>
              <w:right w:val="single" w:sz="4" w:space="0" w:color="auto"/>
            </w:tcBorders>
            <w:vAlign w:val="center"/>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Oppose</w:t>
            </w:r>
          </w:p>
        </w:tc>
      </w:tr>
      <w:tr w:rsidR="00E9007D" w:rsidRPr="00E9007D" w:rsidTr="00A6170F">
        <w:trPr>
          <w:trHeight w:val="132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ALPHABET INC (Google)</w:t>
            </w:r>
          </w:p>
        </w:tc>
        <w:tc>
          <w:tcPr>
            <w:tcW w:w="6022" w:type="dxa"/>
            <w:tcBorders>
              <w:top w:val="nil"/>
              <w:left w:val="nil"/>
              <w:bottom w:val="single" w:sz="4" w:space="0" w:color="auto"/>
              <w:right w:val="single" w:sz="4" w:space="0" w:color="auto"/>
            </w:tcBorders>
            <w:shd w:val="clear" w:color="auto" w:fill="auto"/>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The Board has not demonstrated that the existing disclosure addresses the information requested by the Proponent, or that the information requested is not in the best interests of shareholders</w:t>
            </w:r>
            <w:r>
              <w:rPr>
                <w:rFonts w:ascii="Verdana" w:eastAsia="Times New Roman" w:hAnsi="Verdana" w:cs="Times New Roman"/>
                <w:color w:val="000000"/>
                <w:sz w:val="20"/>
                <w:szCs w:val="20"/>
                <w:lang w:eastAsia="en-GB"/>
              </w:rPr>
              <w:t>.</w:t>
            </w:r>
          </w:p>
        </w:tc>
        <w:tc>
          <w:tcPr>
            <w:tcW w:w="968" w:type="dxa"/>
            <w:tcBorders>
              <w:top w:val="nil"/>
              <w:left w:val="nil"/>
              <w:bottom w:val="single" w:sz="4" w:space="0" w:color="auto"/>
              <w:right w:val="single" w:sz="4" w:space="0" w:color="auto"/>
            </w:tcBorders>
            <w:vAlign w:val="center"/>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For</w:t>
            </w:r>
          </w:p>
        </w:tc>
      </w:tr>
      <w:tr w:rsidR="00E9007D" w:rsidRPr="00E9007D" w:rsidTr="00A6170F">
        <w:trPr>
          <w:trHeight w:val="102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FACEBOOK, INC</w:t>
            </w:r>
          </w:p>
        </w:tc>
        <w:tc>
          <w:tcPr>
            <w:tcW w:w="6022" w:type="dxa"/>
            <w:tcBorders>
              <w:top w:val="nil"/>
              <w:left w:val="nil"/>
              <w:bottom w:val="single" w:sz="4" w:space="0" w:color="auto"/>
              <w:right w:val="single" w:sz="4" w:space="0" w:color="auto"/>
            </w:tcBorders>
            <w:shd w:val="clear" w:color="auto" w:fill="auto"/>
            <w:vAlign w:val="center"/>
            <w:hideMark/>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The Board has demonstrated that the existing disclosure regarding pay parity at the Company and its ongoing efforts in this regard adequately address the concerns identified by the Proponent.</w:t>
            </w:r>
          </w:p>
        </w:tc>
        <w:tc>
          <w:tcPr>
            <w:tcW w:w="968" w:type="dxa"/>
            <w:tcBorders>
              <w:top w:val="nil"/>
              <w:left w:val="nil"/>
              <w:bottom w:val="single" w:sz="4" w:space="0" w:color="auto"/>
              <w:right w:val="single" w:sz="4" w:space="0" w:color="auto"/>
            </w:tcBorders>
            <w:vAlign w:val="center"/>
          </w:tcPr>
          <w:p w:rsidR="00E9007D" w:rsidRPr="00E9007D" w:rsidRDefault="00E9007D" w:rsidP="00E9007D">
            <w:pPr>
              <w:spacing w:after="0" w:line="240" w:lineRule="auto"/>
              <w:rPr>
                <w:rFonts w:ascii="Verdana" w:eastAsia="Times New Roman" w:hAnsi="Verdana" w:cs="Times New Roman"/>
                <w:color w:val="000000"/>
                <w:sz w:val="20"/>
                <w:szCs w:val="20"/>
                <w:lang w:eastAsia="en-GB"/>
              </w:rPr>
            </w:pPr>
            <w:r w:rsidRPr="00E9007D">
              <w:rPr>
                <w:rFonts w:ascii="Verdana" w:eastAsia="Times New Roman" w:hAnsi="Verdana" w:cs="Times New Roman"/>
                <w:color w:val="000000"/>
                <w:sz w:val="20"/>
                <w:szCs w:val="20"/>
                <w:lang w:eastAsia="en-GB"/>
              </w:rPr>
              <w:t>Oppose</w:t>
            </w:r>
          </w:p>
        </w:tc>
      </w:tr>
    </w:tbl>
    <w:p w:rsidR="009E0790" w:rsidRPr="009E0790" w:rsidRDefault="009E0790" w:rsidP="009E0790">
      <w:pPr>
        <w:autoSpaceDE w:val="0"/>
        <w:autoSpaceDN w:val="0"/>
        <w:adjustRightInd w:val="0"/>
        <w:spacing w:after="0" w:line="240" w:lineRule="auto"/>
        <w:rPr>
          <w:rFonts w:ascii="NimbusSanL-Regu" w:hAnsi="NimbusSanL-Regu" w:cs="NimbusSanL-Regu"/>
          <w:color w:val="323232"/>
          <w:sz w:val="20"/>
          <w:szCs w:val="20"/>
        </w:rPr>
      </w:pPr>
    </w:p>
    <w:p w:rsidR="00197BA3" w:rsidRPr="00321072" w:rsidRDefault="00555677" w:rsidP="00197BA3">
      <w:pPr>
        <w:autoSpaceDE w:val="0"/>
        <w:autoSpaceDN w:val="0"/>
        <w:adjustRightInd w:val="0"/>
        <w:spacing w:after="0"/>
        <w:rPr>
          <w:rFonts w:ascii="Verdana" w:hAnsi="Verdana" w:cs="NimbusSanL-Regu"/>
          <w:sz w:val="20"/>
          <w:szCs w:val="20"/>
        </w:rPr>
      </w:pPr>
      <w:r>
        <w:rPr>
          <w:rFonts w:ascii="Verdana" w:hAnsi="Verdana" w:cs="NimbusSanL-Regu"/>
          <w:sz w:val="20"/>
          <w:szCs w:val="20"/>
        </w:rPr>
        <w:t>Shareholder v</w:t>
      </w:r>
      <w:r w:rsidR="00626882" w:rsidRPr="00321072">
        <w:rPr>
          <w:rFonts w:ascii="Verdana" w:hAnsi="Verdana" w:cs="NimbusSanL-Regu"/>
          <w:sz w:val="20"/>
          <w:szCs w:val="20"/>
        </w:rPr>
        <w:t xml:space="preserve">oting forms part of a wider continuum of active ownership through which LPP I (on behalf of LCPF) seeks to have a positive influence in favour of well-run companies whose </w:t>
      </w:r>
      <w:r w:rsidR="000819F9">
        <w:rPr>
          <w:rFonts w:ascii="Verdana" w:hAnsi="Verdana" w:cs="NimbusSanL-Regu"/>
          <w:sz w:val="20"/>
          <w:szCs w:val="20"/>
        </w:rPr>
        <w:t>business conduct</w:t>
      </w:r>
      <w:r w:rsidR="00626882" w:rsidRPr="00321072">
        <w:rPr>
          <w:rFonts w:ascii="Verdana" w:hAnsi="Verdana" w:cs="NimbusSanL-Regu"/>
          <w:sz w:val="20"/>
          <w:szCs w:val="20"/>
        </w:rPr>
        <w:t xml:space="preserve"> and interests </w:t>
      </w:r>
      <w:r w:rsidR="000819F9">
        <w:rPr>
          <w:rFonts w:ascii="Verdana" w:hAnsi="Verdana" w:cs="NimbusSanL-Regu"/>
          <w:sz w:val="20"/>
          <w:szCs w:val="20"/>
        </w:rPr>
        <w:t>align</w:t>
      </w:r>
      <w:r w:rsidR="00626882" w:rsidRPr="00321072">
        <w:rPr>
          <w:rFonts w:ascii="Verdana" w:hAnsi="Verdana" w:cs="NimbusSanL-Regu"/>
          <w:sz w:val="20"/>
          <w:szCs w:val="20"/>
        </w:rPr>
        <w:t xml:space="preserve"> with generating long term value for shareholders. The Fund recognises the value of engagement activities which </w:t>
      </w:r>
      <w:r>
        <w:rPr>
          <w:rFonts w:ascii="Verdana" w:hAnsi="Verdana" w:cs="NimbusSanL-Regu"/>
          <w:sz w:val="20"/>
          <w:szCs w:val="20"/>
        </w:rPr>
        <w:t>raise</w:t>
      </w:r>
      <w:r w:rsidR="00626882" w:rsidRPr="00321072">
        <w:rPr>
          <w:rFonts w:ascii="Verdana" w:hAnsi="Verdana" w:cs="NimbusSanL-Regu"/>
          <w:sz w:val="20"/>
          <w:szCs w:val="20"/>
        </w:rPr>
        <w:t xml:space="preserve"> specific issues of concern</w:t>
      </w:r>
      <w:r>
        <w:rPr>
          <w:rFonts w:ascii="Verdana" w:hAnsi="Verdana" w:cs="NimbusSanL-Regu"/>
          <w:sz w:val="20"/>
          <w:szCs w:val="20"/>
        </w:rPr>
        <w:t xml:space="preserve"> and reinforce the lines taken within </w:t>
      </w:r>
      <w:r w:rsidR="000819F9">
        <w:rPr>
          <w:rFonts w:ascii="Verdana" w:hAnsi="Verdana" w:cs="NimbusSanL-Regu"/>
          <w:sz w:val="20"/>
          <w:szCs w:val="20"/>
        </w:rPr>
        <w:t xml:space="preserve">shareholder </w:t>
      </w:r>
      <w:r>
        <w:rPr>
          <w:rFonts w:ascii="Verdana" w:hAnsi="Verdana" w:cs="NimbusSanL-Regu"/>
          <w:sz w:val="20"/>
          <w:szCs w:val="20"/>
        </w:rPr>
        <w:t xml:space="preserve">voting. </w:t>
      </w:r>
    </w:p>
    <w:p w:rsidR="00626882" w:rsidRDefault="00626882" w:rsidP="00197BA3">
      <w:pPr>
        <w:pStyle w:val="treb"/>
        <w:numPr>
          <w:ilvl w:val="0"/>
          <w:numId w:val="0"/>
        </w:numPr>
        <w:spacing w:after="0"/>
        <w:rPr>
          <w:rFonts w:ascii="Verdana" w:hAnsi="Verdana"/>
          <w:color w:val="54BBAB" w:themeColor="text2"/>
          <w:sz w:val="20"/>
          <w:szCs w:val="20"/>
        </w:rPr>
      </w:pPr>
    </w:p>
    <w:p w:rsidR="00197BA3" w:rsidRPr="00197BA3" w:rsidRDefault="00197BA3" w:rsidP="00572DCB">
      <w:pPr>
        <w:pStyle w:val="treb"/>
        <w:numPr>
          <w:ilvl w:val="0"/>
          <w:numId w:val="46"/>
        </w:numPr>
        <w:spacing w:after="0"/>
        <w:ind w:hanging="720"/>
        <w:rPr>
          <w:rFonts w:ascii="Verdana" w:hAnsi="Verdana"/>
          <w:color w:val="54BBAB" w:themeColor="text2"/>
          <w:sz w:val="20"/>
          <w:szCs w:val="20"/>
        </w:rPr>
      </w:pPr>
      <w:r w:rsidRPr="00197BA3">
        <w:rPr>
          <w:rFonts w:ascii="Verdana" w:hAnsi="Verdana"/>
          <w:color w:val="54BBAB" w:themeColor="text2"/>
          <w:sz w:val="20"/>
          <w:szCs w:val="20"/>
        </w:rPr>
        <w:t>Engagement through Partnerships</w:t>
      </w:r>
    </w:p>
    <w:p w:rsidR="00E9007D" w:rsidRDefault="00E9007D" w:rsidP="00197BA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321072" w:rsidRDefault="009950A0" w:rsidP="00794939">
      <w:pPr>
        <w:spacing w:after="0"/>
        <w:rPr>
          <w:rFonts w:ascii="Verdana" w:hAnsi="Verdana"/>
          <w:bCs/>
          <w:sz w:val="20"/>
          <w:szCs w:val="20"/>
        </w:rPr>
      </w:pPr>
      <w:r w:rsidRPr="00321072">
        <w:rPr>
          <w:rFonts w:ascii="Verdana" w:hAnsi="Verdana" w:cs="NimbusSanL-Regu"/>
          <w:sz w:val="20"/>
          <w:szCs w:val="20"/>
        </w:rPr>
        <w:t>The Fund's</w:t>
      </w:r>
      <w:r w:rsidR="00626882" w:rsidRPr="00321072">
        <w:rPr>
          <w:rFonts w:ascii="Verdana" w:hAnsi="Verdana"/>
          <w:bCs/>
          <w:sz w:val="20"/>
          <w:szCs w:val="20"/>
        </w:rPr>
        <w:t xml:space="preserve"> approach to e</w:t>
      </w:r>
      <w:r w:rsidR="00794939" w:rsidRPr="00321072">
        <w:rPr>
          <w:rFonts w:ascii="Verdana" w:hAnsi="Verdana"/>
          <w:bCs/>
          <w:sz w:val="20"/>
          <w:szCs w:val="20"/>
        </w:rPr>
        <w:t xml:space="preserve">ngagement </w:t>
      </w:r>
      <w:r w:rsidR="00555677">
        <w:rPr>
          <w:rFonts w:ascii="Verdana" w:hAnsi="Verdana"/>
          <w:bCs/>
          <w:sz w:val="20"/>
          <w:szCs w:val="20"/>
        </w:rPr>
        <w:t xml:space="preserve">activity </w:t>
      </w:r>
      <w:r w:rsidR="00626882" w:rsidRPr="00321072">
        <w:rPr>
          <w:rFonts w:ascii="Verdana" w:hAnsi="Verdana"/>
          <w:bCs/>
          <w:sz w:val="20"/>
          <w:szCs w:val="20"/>
        </w:rPr>
        <w:t xml:space="preserve">reflects </w:t>
      </w:r>
      <w:r w:rsidR="00555677">
        <w:rPr>
          <w:rFonts w:ascii="Verdana" w:hAnsi="Verdana"/>
          <w:bCs/>
          <w:sz w:val="20"/>
          <w:szCs w:val="20"/>
        </w:rPr>
        <w:t xml:space="preserve">recognition </w:t>
      </w:r>
      <w:r w:rsidR="00626882" w:rsidRPr="00321072">
        <w:rPr>
          <w:rFonts w:ascii="Verdana" w:hAnsi="Verdana"/>
          <w:bCs/>
          <w:sz w:val="20"/>
          <w:szCs w:val="20"/>
        </w:rPr>
        <w:t xml:space="preserve">that partnerships and collaborations </w:t>
      </w:r>
      <w:r w:rsidR="00794939" w:rsidRPr="00321072">
        <w:rPr>
          <w:rFonts w:ascii="Verdana" w:hAnsi="Verdana"/>
          <w:bCs/>
          <w:sz w:val="20"/>
          <w:szCs w:val="20"/>
        </w:rPr>
        <w:t xml:space="preserve">offer greater </w:t>
      </w:r>
      <w:r w:rsidR="00626882" w:rsidRPr="00321072">
        <w:rPr>
          <w:rFonts w:ascii="Verdana" w:hAnsi="Verdana"/>
          <w:bCs/>
          <w:sz w:val="20"/>
          <w:szCs w:val="20"/>
        </w:rPr>
        <w:t xml:space="preserve">potential </w:t>
      </w:r>
      <w:r w:rsidR="00794939" w:rsidRPr="00321072">
        <w:rPr>
          <w:rFonts w:ascii="Verdana" w:hAnsi="Verdana"/>
          <w:bCs/>
          <w:sz w:val="20"/>
          <w:szCs w:val="20"/>
        </w:rPr>
        <w:t xml:space="preserve">reach and impact than acting alone. </w:t>
      </w:r>
      <w:r w:rsidR="004651E6" w:rsidRPr="00321072">
        <w:rPr>
          <w:rFonts w:ascii="Verdana" w:hAnsi="Verdana"/>
          <w:bCs/>
          <w:sz w:val="20"/>
          <w:szCs w:val="20"/>
        </w:rPr>
        <w:t>LPP I</w:t>
      </w:r>
      <w:r w:rsidR="004651E6">
        <w:rPr>
          <w:rFonts w:ascii="Verdana" w:hAnsi="Verdana"/>
          <w:bCs/>
          <w:sz w:val="20"/>
          <w:szCs w:val="20"/>
        </w:rPr>
        <w:t xml:space="preserve"> </w:t>
      </w:r>
      <w:r w:rsidR="00A52BD6">
        <w:rPr>
          <w:rFonts w:ascii="Verdana" w:hAnsi="Verdana"/>
          <w:bCs/>
          <w:sz w:val="20"/>
          <w:szCs w:val="20"/>
        </w:rPr>
        <w:t xml:space="preserve">participates </w:t>
      </w:r>
      <w:r w:rsidR="00626882" w:rsidRPr="00321072">
        <w:rPr>
          <w:rFonts w:ascii="Verdana" w:hAnsi="Verdana"/>
          <w:bCs/>
          <w:sz w:val="20"/>
          <w:szCs w:val="20"/>
        </w:rPr>
        <w:t xml:space="preserve">in a number of collaborations </w:t>
      </w:r>
      <w:r w:rsidR="007A3C37" w:rsidRPr="00321072">
        <w:rPr>
          <w:rFonts w:ascii="Verdana" w:hAnsi="Verdana"/>
          <w:bCs/>
          <w:sz w:val="20"/>
          <w:szCs w:val="20"/>
        </w:rPr>
        <w:t>represent</w:t>
      </w:r>
      <w:r w:rsidR="0071167C">
        <w:rPr>
          <w:rFonts w:ascii="Verdana" w:hAnsi="Verdana"/>
          <w:bCs/>
          <w:sz w:val="20"/>
          <w:szCs w:val="20"/>
        </w:rPr>
        <w:t>ing</w:t>
      </w:r>
      <w:r w:rsidR="007A3C37" w:rsidRPr="00321072">
        <w:rPr>
          <w:rFonts w:ascii="Verdana" w:hAnsi="Verdana"/>
          <w:bCs/>
          <w:sz w:val="20"/>
          <w:szCs w:val="20"/>
        </w:rPr>
        <w:t xml:space="preserve"> the </w:t>
      </w:r>
      <w:r w:rsidR="000819F9">
        <w:rPr>
          <w:rFonts w:ascii="Verdana" w:hAnsi="Verdana"/>
          <w:bCs/>
          <w:sz w:val="20"/>
          <w:szCs w:val="20"/>
        </w:rPr>
        <w:t xml:space="preserve">collective </w:t>
      </w:r>
      <w:r w:rsidR="007A3C37" w:rsidRPr="00321072">
        <w:rPr>
          <w:rFonts w:ascii="Verdana" w:hAnsi="Verdana"/>
          <w:bCs/>
          <w:sz w:val="20"/>
          <w:szCs w:val="20"/>
        </w:rPr>
        <w:t xml:space="preserve">interests of institutional investors </w:t>
      </w:r>
      <w:r w:rsidR="0071167C">
        <w:rPr>
          <w:rFonts w:ascii="Verdana" w:hAnsi="Verdana"/>
          <w:bCs/>
          <w:sz w:val="20"/>
          <w:szCs w:val="20"/>
        </w:rPr>
        <w:t xml:space="preserve">which </w:t>
      </w:r>
      <w:r w:rsidR="00626882" w:rsidRPr="00321072">
        <w:rPr>
          <w:rFonts w:ascii="Verdana" w:hAnsi="Verdana"/>
          <w:bCs/>
          <w:sz w:val="20"/>
          <w:szCs w:val="20"/>
        </w:rPr>
        <w:t xml:space="preserve">seek to </w:t>
      </w:r>
      <w:r w:rsidR="007A3C37" w:rsidRPr="00321072">
        <w:rPr>
          <w:rFonts w:ascii="Verdana" w:hAnsi="Verdana"/>
          <w:bCs/>
          <w:sz w:val="20"/>
          <w:szCs w:val="20"/>
        </w:rPr>
        <w:t xml:space="preserve">make progress on issues which impact shareholder value. </w:t>
      </w:r>
      <w:r w:rsidR="004651E6">
        <w:rPr>
          <w:rFonts w:ascii="Verdana" w:hAnsi="Verdana"/>
          <w:bCs/>
          <w:sz w:val="20"/>
          <w:szCs w:val="20"/>
        </w:rPr>
        <w:t>Key groups include the Local Authority Pensions Fund Forum (LAPFF) the Pensions and Lifetime Savings Association (PLSA) the Principles of Responsible Investment (PRI) and the Institutional Investor Group on Climate Change (IIGCC)</w:t>
      </w:r>
      <w:r w:rsidR="00060430">
        <w:rPr>
          <w:rFonts w:ascii="Verdana" w:hAnsi="Verdana"/>
          <w:bCs/>
          <w:sz w:val="20"/>
          <w:szCs w:val="20"/>
        </w:rPr>
        <w:t>.</w:t>
      </w:r>
    </w:p>
    <w:p w:rsidR="00626882" w:rsidRPr="00321072" w:rsidRDefault="00626882" w:rsidP="00794939">
      <w:pPr>
        <w:spacing w:after="0"/>
        <w:rPr>
          <w:rFonts w:ascii="Verdana" w:hAnsi="Verdana"/>
          <w:bCs/>
          <w:sz w:val="20"/>
          <w:szCs w:val="20"/>
        </w:rPr>
      </w:pPr>
    </w:p>
    <w:p w:rsidR="00794939" w:rsidRPr="00321072" w:rsidRDefault="000819F9" w:rsidP="00794939">
      <w:pPr>
        <w:spacing w:after="0"/>
        <w:rPr>
          <w:rFonts w:ascii="Verdana" w:hAnsi="Verdana"/>
          <w:bCs/>
          <w:sz w:val="20"/>
          <w:szCs w:val="20"/>
        </w:rPr>
      </w:pPr>
      <w:r>
        <w:rPr>
          <w:rFonts w:ascii="Verdana" w:hAnsi="Verdana"/>
          <w:bCs/>
          <w:sz w:val="20"/>
          <w:szCs w:val="20"/>
        </w:rPr>
        <w:t>LCPF's</w:t>
      </w:r>
      <w:r w:rsidR="00060430">
        <w:rPr>
          <w:rFonts w:ascii="Verdana" w:hAnsi="Verdana"/>
          <w:bCs/>
          <w:sz w:val="20"/>
          <w:szCs w:val="20"/>
        </w:rPr>
        <w:t xml:space="preserve"> </w:t>
      </w:r>
      <w:r w:rsidR="00BA6EB9" w:rsidRPr="00321072">
        <w:rPr>
          <w:rFonts w:ascii="Verdana" w:hAnsi="Verdana"/>
          <w:bCs/>
          <w:sz w:val="20"/>
          <w:szCs w:val="20"/>
        </w:rPr>
        <w:t xml:space="preserve">principal engagement partner </w:t>
      </w:r>
      <w:r w:rsidR="00060430">
        <w:rPr>
          <w:rFonts w:ascii="Verdana" w:hAnsi="Verdana"/>
          <w:bCs/>
          <w:sz w:val="20"/>
          <w:szCs w:val="20"/>
        </w:rPr>
        <w:t xml:space="preserve">in the RI space is LAPFF which exists to </w:t>
      </w:r>
      <w:r>
        <w:rPr>
          <w:rFonts w:ascii="Verdana" w:hAnsi="Verdana"/>
          <w:bCs/>
          <w:sz w:val="20"/>
          <w:szCs w:val="20"/>
        </w:rPr>
        <w:t>represent</w:t>
      </w:r>
      <w:r w:rsidR="00E0367E" w:rsidRPr="00321072">
        <w:rPr>
          <w:rFonts w:ascii="Verdana" w:hAnsi="Verdana"/>
          <w:bCs/>
          <w:sz w:val="20"/>
          <w:szCs w:val="20"/>
        </w:rPr>
        <w:t xml:space="preserve"> the</w:t>
      </w:r>
      <w:r w:rsidR="00794939" w:rsidRPr="00321072">
        <w:rPr>
          <w:rFonts w:ascii="Verdana" w:hAnsi="Verdana"/>
          <w:bCs/>
          <w:sz w:val="20"/>
          <w:szCs w:val="20"/>
        </w:rPr>
        <w:t xml:space="preserve"> </w:t>
      </w:r>
      <w:r w:rsidR="007A3C37" w:rsidRPr="00321072">
        <w:rPr>
          <w:rFonts w:ascii="Verdana" w:hAnsi="Verdana"/>
          <w:bCs/>
          <w:sz w:val="20"/>
          <w:szCs w:val="20"/>
        </w:rPr>
        <w:t xml:space="preserve">specific </w:t>
      </w:r>
      <w:r w:rsidR="00794939" w:rsidRPr="00321072">
        <w:rPr>
          <w:rFonts w:ascii="Verdana" w:hAnsi="Verdana"/>
          <w:bCs/>
          <w:sz w:val="20"/>
          <w:szCs w:val="20"/>
        </w:rPr>
        <w:t xml:space="preserve">investment interests of local authority pension funds as asset owners. </w:t>
      </w:r>
      <w:r w:rsidR="00A04AA5">
        <w:rPr>
          <w:rFonts w:ascii="Verdana" w:eastAsia="Times New Roman" w:hAnsi="Verdana"/>
          <w:bCs/>
          <w:sz w:val="20"/>
          <w:szCs w:val="20"/>
        </w:rPr>
        <w:t>70</w:t>
      </w:r>
      <w:r w:rsidR="00794939" w:rsidRPr="00321072">
        <w:rPr>
          <w:rFonts w:ascii="Verdana" w:eastAsia="Times New Roman" w:hAnsi="Verdana"/>
          <w:bCs/>
          <w:sz w:val="20"/>
          <w:szCs w:val="20"/>
        </w:rPr>
        <w:t xml:space="preserve"> of the 89 LGPS funds are </w:t>
      </w:r>
      <w:r w:rsidR="007A3C37" w:rsidRPr="00321072">
        <w:rPr>
          <w:rFonts w:ascii="Verdana" w:eastAsia="Times New Roman" w:hAnsi="Verdana"/>
          <w:bCs/>
          <w:sz w:val="20"/>
          <w:szCs w:val="20"/>
        </w:rPr>
        <w:t xml:space="preserve">now </w:t>
      </w:r>
      <w:r w:rsidR="00873CFD" w:rsidRPr="00321072">
        <w:rPr>
          <w:rFonts w:ascii="Verdana" w:eastAsia="Times New Roman" w:hAnsi="Verdana"/>
          <w:bCs/>
          <w:sz w:val="20"/>
          <w:szCs w:val="20"/>
        </w:rPr>
        <w:t xml:space="preserve">LAPFF </w:t>
      </w:r>
      <w:r w:rsidR="00794939" w:rsidRPr="00321072">
        <w:rPr>
          <w:rFonts w:ascii="Verdana" w:eastAsia="Times New Roman" w:hAnsi="Verdana"/>
          <w:bCs/>
          <w:sz w:val="20"/>
          <w:szCs w:val="20"/>
        </w:rPr>
        <w:t>members.</w:t>
      </w:r>
    </w:p>
    <w:p w:rsidR="00794939" w:rsidRPr="00321072" w:rsidRDefault="00794939" w:rsidP="00794939">
      <w:pPr>
        <w:spacing w:after="0"/>
        <w:rPr>
          <w:rFonts w:ascii="Verdana" w:hAnsi="Verdana"/>
          <w:sz w:val="20"/>
          <w:szCs w:val="20"/>
        </w:rPr>
      </w:pPr>
    </w:p>
    <w:p w:rsidR="00794939" w:rsidRPr="00321072" w:rsidRDefault="00911FF3" w:rsidP="00794939">
      <w:pPr>
        <w:spacing w:after="0"/>
        <w:contextualSpacing/>
        <w:jc w:val="both"/>
        <w:rPr>
          <w:rFonts w:ascii="Verdana" w:hAnsi="Verdana" w:cs="Arial"/>
          <w:bCs/>
          <w:sz w:val="20"/>
          <w:szCs w:val="20"/>
        </w:rPr>
      </w:pPr>
      <w:r w:rsidRPr="00321072">
        <w:rPr>
          <w:rFonts w:ascii="Verdana" w:hAnsi="Verdana" w:cs="Arial"/>
          <w:bCs/>
          <w:sz w:val="20"/>
          <w:szCs w:val="20"/>
        </w:rPr>
        <w:t xml:space="preserve">On a quarterly basis LAPFF provides member funds with a summary of the engagement activities undertaken on their behalf. </w:t>
      </w:r>
      <w:r w:rsidR="00794939" w:rsidRPr="00321072">
        <w:rPr>
          <w:rFonts w:ascii="Verdana" w:hAnsi="Verdana" w:cs="Arial"/>
          <w:bCs/>
          <w:sz w:val="20"/>
          <w:szCs w:val="20"/>
        </w:rPr>
        <w:t xml:space="preserve">A copy of LAPFF's Q2 2016 engagement report </w:t>
      </w:r>
      <w:r w:rsidR="000819F9">
        <w:rPr>
          <w:rFonts w:ascii="Verdana" w:hAnsi="Verdana" w:cs="Arial"/>
          <w:bCs/>
          <w:sz w:val="20"/>
          <w:szCs w:val="20"/>
        </w:rPr>
        <w:t>is attached at Appendix 1</w:t>
      </w:r>
      <w:r w:rsidR="00794939" w:rsidRPr="00321072">
        <w:rPr>
          <w:rFonts w:ascii="Verdana" w:hAnsi="Verdana" w:cs="Arial"/>
          <w:bCs/>
          <w:sz w:val="20"/>
          <w:szCs w:val="20"/>
        </w:rPr>
        <w:t xml:space="preserve">.  </w:t>
      </w:r>
      <w:r w:rsidRPr="00321072">
        <w:rPr>
          <w:rFonts w:ascii="Verdana" w:hAnsi="Verdana" w:cs="Arial"/>
          <w:sz w:val="20"/>
          <w:szCs w:val="20"/>
        </w:rPr>
        <w:t>Highlights from th</w:t>
      </w:r>
      <w:r w:rsidR="00C94F28" w:rsidRPr="00321072">
        <w:rPr>
          <w:rFonts w:ascii="Verdana" w:hAnsi="Verdana" w:cs="Arial"/>
          <w:sz w:val="20"/>
          <w:szCs w:val="20"/>
        </w:rPr>
        <w:t>e</w:t>
      </w:r>
      <w:r w:rsidR="00794939" w:rsidRPr="00321072">
        <w:rPr>
          <w:rFonts w:ascii="Verdana" w:hAnsi="Verdana" w:cs="Arial"/>
          <w:sz w:val="20"/>
          <w:szCs w:val="20"/>
        </w:rPr>
        <w:t xml:space="preserve"> report </w:t>
      </w:r>
      <w:r w:rsidR="003072F0" w:rsidRPr="00321072">
        <w:rPr>
          <w:rFonts w:ascii="Verdana" w:hAnsi="Verdana" w:cs="Arial"/>
          <w:sz w:val="20"/>
          <w:szCs w:val="20"/>
        </w:rPr>
        <w:t>which covers</w:t>
      </w:r>
      <w:r w:rsidR="00794939" w:rsidRPr="00321072">
        <w:rPr>
          <w:rFonts w:ascii="Verdana" w:hAnsi="Verdana" w:cs="Arial"/>
          <w:sz w:val="20"/>
          <w:szCs w:val="20"/>
        </w:rPr>
        <w:t xml:space="preserve"> the </w:t>
      </w:r>
      <w:r w:rsidR="000819F9">
        <w:rPr>
          <w:rFonts w:ascii="Verdana" w:hAnsi="Verdana" w:cs="Arial"/>
          <w:bCs/>
          <w:sz w:val="20"/>
          <w:szCs w:val="20"/>
        </w:rPr>
        <w:t>period from 1 April to 30</w:t>
      </w:r>
      <w:r w:rsidR="00794939" w:rsidRPr="00321072">
        <w:rPr>
          <w:rFonts w:ascii="Verdana" w:hAnsi="Verdana" w:cs="Arial"/>
          <w:bCs/>
          <w:sz w:val="20"/>
          <w:szCs w:val="20"/>
        </w:rPr>
        <w:t xml:space="preserve"> June 2016 include</w:t>
      </w:r>
      <w:r w:rsidR="00C94F28" w:rsidRPr="00321072">
        <w:rPr>
          <w:rFonts w:ascii="Verdana" w:hAnsi="Verdana" w:cs="Arial"/>
          <w:bCs/>
          <w:sz w:val="20"/>
          <w:szCs w:val="20"/>
        </w:rPr>
        <w:t xml:space="preserve"> the following</w:t>
      </w:r>
      <w:r w:rsidR="00794939" w:rsidRPr="00321072">
        <w:rPr>
          <w:rFonts w:ascii="Verdana" w:hAnsi="Verdana" w:cs="Arial"/>
          <w:bCs/>
          <w:sz w:val="20"/>
          <w:szCs w:val="20"/>
        </w:rPr>
        <w:t xml:space="preserve">: </w:t>
      </w:r>
    </w:p>
    <w:p w:rsidR="00F71543" w:rsidRPr="00321072" w:rsidRDefault="00F71543" w:rsidP="00794939">
      <w:pPr>
        <w:spacing w:after="0"/>
        <w:contextualSpacing/>
        <w:jc w:val="both"/>
        <w:rPr>
          <w:rFonts w:ascii="Verdana" w:hAnsi="Verdana" w:cs="Arial"/>
          <w:bCs/>
          <w:sz w:val="20"/>
          <w:szCs w:val="20"/>
        </w:rPr>
      </w:pPr>
    </w:p>
    <w:p w:rsidR="00411F9E" w:rsidRPr="00321072" w:rsidRDefault="00411F9E" w:rsidP="00F15C55">
      <w:pPr>
        <w:pStyle w:val="ListParagraph"/>
        <w:numPr>
          <w:ilvl w:val="0"/>
          <w:numId w:val="39"/>
        </w:numPr>
        <w:autoSpaceDE w:val="0"/>
        <w:autoSpaceDN w:val="0"/>
        <w:adjustRightInd w:val="0"/>
        <w:spacing w:after="0" w:line="240" w:lineRule="auto"/>
        <w:ind w:left="426" w:hanging="426"/>
        <w:rPr>
          <w:rFonts w:ascii="Verdana" w:hAnsi="Verdana" w:cs="Seravek-Light"/>
          <w:b/>
          <w:sz w:val="20"/>
          <w:szCs w:val="20"/>
        </w:rPr>
      </w:pPr>
      <w:r w:rsidRPr="00321072">
        <w:rPr>
          <w:rFonts w:ascii="Verdana" w:hAnsi="Verdana" w:cs="Seravek"/>
          <w:b/>
          <w:sz w:val="20"/>
          <w:szCs w:val="20"/>
        </w:rPr>
        <w:t>Launch of All Party Parliamentary Group</w:t>
      </w:r>
      <w:r w:rsidRPr="00321072">
        <w:rPr>
          <w:rFonts w:ascii="Verdana" w:hAnsi="Verdana" w:cs="Seravek-Light"/>
          <w:b/>
          <w:sz w:val="20"/>
          <w:szCs w:val="20"/>
        </w:rPr>
        <w:t xml:space="preserve"> </w:t>
      </w:r>
      <w:r w:rsidR="00F15C55" w:rsidRPr="00321072">
        <w:rPr>
          <w:rFonts w:ascii="Verdana" w:hAnsi="Verdana" w:cs="Seravek-Light"/>
          <w:b/>
          <w:sz w:val="20"/>
          <w:szCs w:val="20"/>
        </w:rPr>
        <w:t xml:space="preserve">(APPG) </w:t>
      </w:r>
      <w:r w:rsidRPr="00321072">
        <w:rPr>
          <w:rFonts w:ascii="Verdana" w:hAnsi="Verdana" w:cs="Seravek-Light"/>
          <w:b/>
          <w:sz w:val="20"/>
          <w:szCs w:val="20"/>
        </w:rPr>
        <w:t>on Local Authority Pension</w:t>
      </w:r>
    </w:p>
    <w:p w:rsidR="00411F9E" w:rsidRPr="00321072" w:rsidRDefault="00F15C55" w:rsidP="00F15C55">
      <w:pPr>
        <w:autoSpaceDE w:val="0"/>
        <w:autoSpaceDN w:val="0"/>
        <w:adjustRightInd w:val="0"/>
        <w:spacing w:after="0" w:line="240" w:lineRule="auto"/>
        <w:ind w:firstLine="426"/>
        <w:rPr>
          <w:rFonts w:ascii="Verdana" w:hAnsi="Verdana" w:cs="Seravek-Light"/>
          <w:b/>
          <w:sz w:val="20"/>
          <w:szCs w:val="20"/>
        </w:rPr>
      </w:pPr>
      <w:r w:rsidRPr="00321072">
        <w:rPr>
          <w:rFonts w:ascii="Verdana" w:hAnsi="Verdana" w:cs="Seravek-Light"/>
          <w:b/>
          <w:sz w:val="20"/>
          <w:szCs w:val="20"/>
        </w:rPr>
        <w:t>Funds</w:t>
      </w:r>
    </w:p>
    <w:p w:rsidR="00F15C55" w:rsidRPr="00321072" w:rsidRDefault="00F15C55" w:rsidP="00F15C55">
      <w:pPr>
        <w:ind w:left="426"/>
        <w:rPr>
          <w:rFonts w:ascii="Verdana" w:hAnsi="Verdana"/>
          <w:sz w:val="20"/>
          <w:szCs w:val="20"/>
        </w:rPr>
      </w:pPr>
      <w:r w:rsidRPr="00321072">
        <w:rPr>
          <w:rFonts w:ascii="Verdana" w:hAnsi="Verdana"/>
          <w:bCs/>
          <w:sz w:val="20"/>
          <w:szCs w:val="20"/>
        </w:rPr>
        <w:t>LAPFF</w:t>
      </w:r>
      <w:r w:rsidR="00A52BD6">
        <w:rPr>
          <w:rFonts w:ascii="Verdana" w:hAnsi="Verdana"/>
          <w:bCs/>
          <w:sz w:val="20"/>
          <w:szCs w:val="20"/>
        </w:rPr>
        <w:t>'s</w:t>
      </w:r>
      <w:r w:rsidRPr="00321072">
        <w:rPr>
          <w:rFonts w:ascii="Verdana" w:hAnsi="Verdana"/>
          <w:bCs/>
          <w:sz w:val="20"/>
          <w:szCs w:val="20"/>
        </w:rPr>
        <w:t xml:space="preserve"> </w:t>
      </w:r>
      <w:r w:rsidR="00BA6EB9">
        <w:rPr>
          <w:rFonts w:ascii="Verdana" w:hAnsi="Verdana"/>
          <w:bCs/>
          <w:sz w:val="20"/>
          <w:szCs w:val="20"/>
        </w:rPr>
        <w:t>ambition</w:t>
      </w:r>
      <w:r w:rsidRPr="00321072">
        <w:rPr>
          <w:rFonts w:ascii="Verdana" w:hAnsi="Verdana"/>
          <w:bCs/>
          <w:sz w:val="20"/>
          <w:szCs w:val="20"/>
        </w:rPr>
        <w:t xml:space="preserve"> to </w:t>
      </w:r>
      <w:r w:rsidR="00060430">
        <w:rPr>
          <w:rFonts w:ascii="Verdana" w:hAnsi="Verdana"/>
          <w:bCs/>
          <w:sz w:val="20"/>
          <w:szCs w:val="20"/>
        </w:rPr>
        <w:t xml:space="preserve">support </w:t>
      </w:r>
      <w:r w:rsidRPr="00321072">
        <w:rPr>
          <w:rFonts w:ascii="Verdana" w:hAnsi="Verdana"/>
          <w:bCs/>
          <w:sz w:val="20"/>
          <w:szCs w:val="20"/>
        </w:rPr>
        <w:t xml:space="preserve"> the formation of an </w:t>
      </w:r>
      <w:r w:rsidRPr="00321072">
        <w:rPr>
          <w:rFonts w:ascii="Verdana" w:hAnsi="Verdana"/>
          <w:sz w:val="20"/>
          <w:szCs w:val="20"/>
        </w:rPr>
        <w:t xml:space="preserve">APPG as a forum for discussing </w:t>
      </w:r>
      <w:r w:rsidRPr="00321072">
        <w:rPr>
          <w:rFonts w:ascii="Verdana" w:hAnsi="Verdana"/>
          <w:i/>
          <w:iCs/>
          <w:sz w:val="20"/>
          <w:szCs w:val="20"/>
          <w:lang w:val="en-US" w:eastAsia="en-GB"/>
        </w:rPr>
        <w:t>"the issues and concerns of local authority pension funds and the work of the Local Authority Pension Fund Forum”</w:t>
      </w:r>
      <w:r w:rsidR="00060430">
        <w:rPr>
          <w:rFonts w:ascii="Verdana" w:hAnsi="Verdana"/>
          <w:i/>
          <w:iCs/>
          <w:sz w:val="20"/>
          <w:szCs w:val="20"/>
          <w:lang w:val="en-US" w:eastAsia="en-GB"/>
        </w:rPr>
        <w:t xml:space="preserve"> </w:t>
      </w:r>
      <w:r w:rsidR="007A3C37" w:rsidRPr="00321072">
        <w:rPr>
          <w:rFonts w:ascii="Verdana" w:hAnsi="Verdana"/>
          <w:sz w:val="20"/>
          <w:szCs w:val="20"/>
          <w:lang w:val="en-US" w:eastAsia="en-GB"/>
        </w:rPr>
        <w:t>ca</w:t>
      </w:r>
      <w:r w:rsidR="0030477F" w:rsidRPr="00321072">
        <w:rPr>
          <w:rFonts w:ascii="Verdana" w:hAnsi="Verdana"/>
          <w:sz w:val="20"/>
          <w:szCs w:val="20"/>
          <w:lang w:val="en-US" w:eastAsia="en-GB"/>
        </w:rPr>
        <w:t>m</w:t>
      </w:r>
      <w:r w:rsidRPr="00321072">
        <w:rPr>
          <w:rFonts w:ascii="Verdana" w:hAnsi="Verdana"/>
          <w:sz w:val="20"/>
          <w:szCs w:val="20"/>
          <w:lang w:val="en-US" w:eastAsia="en-GB"/>
        </w:rPr>
        <w:t xml:space="preserve">e to fruition </w:t>
      </w:r>
      <w:r w:rsidR="00060430">
        <w:rPr>
          <w:rFonts w:ascii="Verdana" w:hAnsi="Verdana"/>
          <w:sz w:val="20"/>
          <w:szCs w:val="20"/>
          <w:lang w:val="en-US" w:eastAsia="en-GB"/>
        </w:rPr>
        <w:t>with</w:t>
      </w:r>
      <w:r w:rsidR="00BA6EB9">
        <w:rPr>
          <w:rFonts w:ascii="Verdana" w:hAnsi="Verdana"/>
          <w:sz w:val="20"/>
          <w:szCs w:val="20"/>
          <w:lang w:val="en-US" w:eastAsia="en-GB"/>
        </w:rPr>
        <w:t xml:space="preserve"> </w:t>
      </w:r>
      <w:r w:rsidRPr="00321072">
        <w:rPr>
          <w:rFonts w:ascii="Verdana" w:hAnsi="Verdana"/>
          <w:sz w:val="20"/>
          <w:szCs w:val="20"/>
          <w:lang w:val="en-US" w:eastAsia="en-GB"/>
        </w:rPr>
        <w:t>an inaugural meeting on 18</w:t>
      </w:r>
      <w:r w:rsidRPr="00321072">
        <w:rPr>
          <w:rFonts w:ascii="Verdana" w:hAnsi="Verdana"/>
          <w:sz w:val="20"/>
          <w:szCs w:val="20"/>
          <w:vertAlign w:val="superscript"/>
          <w:lang w:val="en-US" w:eastAsia="en-GB"/>
        </w:rPr>
        <w:t>th</w:t>
      </w:r>
      <w:r w:rsidRPr="00321072">
        <w:rPr>
          <w:rFonts w:ascii="Verdana" w:hAnsi="Verdana"/>
          <w:sz w:val="20"/>
          <w:szCs w:val="20"/>
          <w:lang w:val="en-US" w:eastAsia="en-GB"/>
        </w:rPr>
        <w:t xml:space="preserve"> May 2016</w:t>
      </w:r>
      <w:r w:rsidRPr="00321072">
        <w:rPr>
          <w:rFonts w:ascii="Verdana" w:hAnsi="Verdana" w:cs="Seravek-Light"/>
          <w:sz w:val="20"/>
          <w:szCs w:val="20"/>
        </w:rPr>
        <w:t xml:space="preserve"> </w:t>
      </w:r>
      <w:r w:rsidR="007A3C37" w:rsidRPr="00321072">
        <w:rPr>
          <w:rFonts w:ascii="Verdana" w:hAnsi="Verdana" w:cs="Seravek-Light"/>
          <w:sz w:val="20"/>
          <w:szCs w:val="20"/>
        </w:rPr>
        <w:t xml:space="preserve">which </w:t>
      </w:r>
      <w:r w:rsidR="00060430">
        <w:rPr>
          <w:rFonts w:ascii="Verdana" w:hAnsi="Verdana" w:cs="Seravek-Light"/>
          <w:sz w:val="20"/>
          <w:szCs w:val="20"/>
        </w:rPr>
        <w:t xml:space="preserve">was </w:t>
      </w:r>
      <w:r w:rsidRPr="00321072">
        <w:rPr>
          <w:rFonts w:ascii="Verdana" w:hAnsi="Verdana" w:cs="Seravek-Light"/>
          <w:sz w:val="20"/>
          <w:szCs w:val="20"/>
        </w:rPr>
        <w:t>chaired by Clive Betts MP</w:t>
      </w:r>
      <w:r w:rsidR="007A3C37" w:rsidRPr="00321072">
        <w:rPr>
          <w:rFonts w:ascii="Verdana" w:hAnsi="Verdana" w:cs="Seravek-Light"/>
          <w:sz w:val="20"/>
          <w:szCs w:val="20"/>
        </w:rPr>
        <w:t xml:space="preserve"> and attended by a range of interested parties</w:t>
      </w:r>
      <w:r w:rsidRPr="00321072">
        <w:rPr>
          <w:rFonts w:ascii="Verdana" w:hAnsi="Verdana"/>
          <w:sz w:val="20"/>
          <w:szCs w:val="20"/>
          <w:lang w:val="en-US" w:eastAsia="en-GB"/>
        </w:rPr>
        <w:t>.</w:t>
      </w:r>
      <w:r w:rsidR="00873CFD" w:rsidRPr="00321072">
        <w:rPr>
          <w:rFonts w:ascii="Verdana" w:hAnsi="Verdana"/>
          <w:sz w:val="20"/>
          <w:szCs w:val="20"/>
          <w:lang w:val="en-US" w:eastAsia="en-GB"/>
        </w:rPr>
        <w:t xml:space="preserve"> The meeting discussed the formation and objectives of the APPG and the development of a future programme</w:t>
      </w:r>
      <w:r w:rsidR="00911FF3" w:rsidRPr="00321072">
        <w:rPr>
          <w:rFonts w:ascii="Verdana" w:hAnsi="Verdana"/>
          <w:sz w:val="20"/>
          <w:szCs w:val="20"/>
          <w:lang w:val="en-US" w:eastAsia="en-GB"/>
        </w:rPr>
        <w:t xml:space="preserve">. </w:t>
      </w:r>
      <w:r w:rsidR="00060430">
        <w:rPr>
          <w:rFonts w:ascii="Verdana" w:hAnsi="Verdana"/>
          <w:sz w:val="20"/>
          <w:szCs w:val="20"/>
          <w:lang w:val="en-US" w:eastAsia="en-GB"/>
        </w:rPr>
        <w:t xml:space="preserve">Details </w:t>
      </w:r>
      <w:r w:rsidR="00A52BD6">
        <w:rPr>
          <w:rFonts w:ascii="Verdana" w:hAnsi="Verdana"/>
          <w:sz w:val="20"/>
          <w:szCs w:val="20"/>
          <w:lang w:val="en-US" w:eastAsia="en-GB"/>
        </w:rPr>
        <w:t xml:space="preserve">on the work of the </w:t>
      </w:r>
      <w:r w:rsidR="007A3C37" w:rsidRPr="00321072">
        <w:rPr>
          <w:rFonts w:ascii="Verdana" w:hAnsi="Verdana"/>
          <w:sz w:val="20"/>
          <w:szCs w:val="20"/>
          <w:lang w:val="en-US" w:eastAsia="en-GB"/>
        </w:rPr>
        <w:t>APPG</w:t>
      </w:r>
      <w:r w:rsidR="009B7DA5" w:rsidRPr="00321072">
        <w:rPr>
          <w:rFonts w:ascii="Verdana" w:hAnsi="Verdana"/>
          <w:sz w:val="20"/>
          <w:szCs w:val="20"/>
          <w:lang w:val="en-US" w:eastAsia="en-GB"/>
        </w:rPr>
        <w:t xml:space="preserve"> </w:t>
      </w:r>
      <w:r w:rsidR="00873CFD" w:rsidRPr="00321072">
        <w:rPr>
          <w:rFonts w:ascii="Verdana" w:hAnsi="Verdana"/>
          <w:sz w:val="20"/>
          <w:szCs w:val="20"/>
          <w:lang w:val="en-US" w:eastAsia="en-GB"/>
        </w:rPr>
        <w:t xml:space="preserve">will </w:t>
      </w:r>
      <w:r w:rsidR="00A52BD6">
        <w:rPr>
          <w:rFonts w:ascii="Verdana" w:hAnsi="Verdana"/>
          <w:sz w:val="20"/>
          <w:szCs w:val="20"/>
          <w:lang w:val="en-US" w:eastAsia="en-GB"/>
        </w:rPr>
        <w:t>feature</w:t>
      </w:r>
      <w:r w:rsidR="00873CFD" w:rsidRPr="00321072">
        <w:rPr>
          <w:rFonts w:ascii="Verdana" w:hAnsi="Verdana"/>
          <w:sz w:val="20"/>
          <w:szCs w:val="20"/>
          <w:lang w:val="en-US" w:eastAsia="en-GB"/>
        </w:rPr>
        <w:t xml:space="preserve"> within </w:t>
      </w:r>
      <w:r w:rsidR="00060430">
        <w:rPr>
          <w:rFonts w:ascii="Verdana" w:hAnsi="Verdana"/>
          <w:sz w:val="20"/>
          <w:szCs w:val="20"/>
          <w:lang w:val="en-US" w:eastAsia="en-GB"/>
        </w:rPr>
        <w:t xml:space="preserve">quarterly </w:t>
      </w:r>
      <w:r w:rsidR="00873CFD" w:rsidRPr="00321072">
        <w:rPr>
          <w:rFonts w:ascii="Verdana" w:hAnsi="Verdana"/>
          <w:sz w:val="20"/>
          <w:szCs w:val="20"/>
          <w:lang w:val="en-US" w:eastAsia="en-GB"/>
        </w:rPr>
        <w:t xml:space="preserve">LAPFF business </w:t>
      </w:r>
      <w:r w:rsidR="00060430">
        <w:rPr>
          <w:rFonts w:ascii="Verdana" w:hAnsi="Verdana"/>
          <w:sz w:val="20"/>
          <w:szCs w:val="20"/>
          <w:lang w:val="en-US" w:eastAsia="en-GB"/>
        </w:rPr>
        <w:t xml:space="preserve">meeting </w:t>
      </w:r>
      <w:r w:rsidR="00873CFD" w:rsidRPr="00321072">
        <w:rPr>
          <w:rFonts w:ascii="Verdana" w:hAnsi="Verdana"/>
          <w:sz w:val="20"/>
          <w:szCs w:val="20"/>
          <w:lang w:val="en-US" w:eastAsia="en-GB"/>
        </w:rPr>
        <w:t>papers</w:t>
      </w:r>
      <w:r w:rsidR="00060430">
        <w:rPr>
          <w:rFonts w:ascii="Verdana" w:hAnsi="Verdana"/>
          <w:sz w:val="20"/>
          <w:szCs w:val="20"/>
          <w:lang w:val="en-US" w:eastAsia="en-GB"/>
        </w:rPr>
        <w:t xml:space="preserve"> going forward</w:t>
      </w:r>
      <w:r w:rsidR="00707FD9" w:rsidRPr="00321072">
        <w:rPr>
          <w:rFonts w:ascii="Verdana" w:hAnsi="Verdana"/>
          <w:sz w:val="20"/>
          <w:szCs w:val="20"/>
          <w:lang w:val="en-US" w:eastAsia="en-GB"/>
        </w:rPr>
        <w:t>.</w:t>
      </w:r>
      <w:r w:rsidR="00873CFD" w:rsidRPr="00321072">
        <w:rPr>
          <w:rFonts w:ascii="Verdana" w:hAnsi="Verdana"/>
          <w:sz w:val="20"/>
          <w:szCs w:val="20"/>
          <w:lang w:val="en-US" w:eastAsia="en-GB"/>
        </w:rPr>
        <w:t xml:space="preserve"> </w:t>
      </w:r>
    </w:p>
    <w:p w:rsidR="00F15C55" w:rsidRPr="00321072" w:rsidRDefault="00F15C55" w:rsidP="00F15C55">
      <w:pPr>
        <w:pStyle w:val="ListParagraph"/>
        <w:numPr>
          <w:ilvl w:val="0"/>
          <w:numId w:val="39"/>
        </w:numPr>
        <w:autoSpaceDE w:val="0"/>
        <w:autoSpaceDN w:val="0"/>
        <w:adjustRightInd w:val="0"/>
        <w:spacing w:after="0" w:line="240" w:lineRule="auto"/>
        <w:ind w:left="426" w:hanging="426"/>
        <w:rPr>
          <w:rFonts w:ascii="Verdana" w:hAnsi="Verdana" w:cs="Seravek"/>
          <w:b/>
          <w:sz w:val="20"/>
          <w:szCs w:val="20"/>
        </w:rPr>
      </w:pPr>
      <w:r w:rsidRPr="00321072">
        <w:rPr>
          <w:rFonts w:ascii="Verdana" w:hAnsi="Verdana" w:cs="Seravek"/>
          <w:b/>
          <w:sz w:val="20"/>
          <w:szCs w:val="20"/>
        </w:rPr>
        <w:t>LAPFF seminar on responsible investment and shareholder rights under pooling</w:t>
      </w:r>
      <w:r w:rsidR="00A52BD6">
        <w:rPr>
          <w:rFonts w:ascii="Verdana" w:hAnsi="Verdana" w:cs="Seravek"/>
          <w:b/>
          <w:sz w:val="20"/>
          <w:szCs w:val="20"/>
        </w:rPr>
        <w:t xml:space="preserve"> (7</w:t>
      </w:r>
      <w:r w:rsidR="00A52BD6" w:rsidRPr="00A52BD6">
        <w:rPr>
          <w:rFonts w:ascii="Verdana" w:hAnsi="Verdana" w:cs="Seravek"/>
          <w:b/>
          <w:sz w:val="20"/>
          <w:szCs w:val="20"/>
          <w:vertAlign w:val="superscript"/>
        </w:rPr>
        <w:t>th</w:t>
      </w:r>
      <w:r w:rsidR="00A52BD6">
        <w:rPr>
          <w:rFonts w:ascii="Verdana" w:hAnsi="Verdana" w:cs="Seravek"/>
          <w:b/>
          <w:sz w:val="20"/>
          <w:szCs w:val="20"/>
        </w:rPr>
        <w:t xml:space="preserve"> June 2016)</w:t>
      </w:r>
    </w:p>
    <w:p w:rsidR="00F15C55" w:rsidRPr="00321072" w:rsidRDefault="00F15C55" w:rsidP="00F15C55">
      <w:pPr>
        <w:autoSpaceDE w:val="0"/>
        <w:autoSpaceDN w:val="0"/>
        <w:adjustRightInd w:val="0"/>
        <w:spacing w:after="0" w:line="240" w:lineRule="auto"/>
        <w:ind w:left="426"/>
        <w:rPr>
          <w:rFonts w:ascii="Verdana" w:hAnsi="Verdana" w:cs="Seravek"/>
          <w:sz w:val="20"/>
          <w:szCs w:val="20"/>
        </w:rPr>
      </w:pPr>
      <w:r w:rsidRPr="00321072">
        <w:rPr>
          <w:rFonts w:ascii="Verdana" w:hAnsi="Verdana" w:cs="Seravek"/>
          <w:sz w:val="20"/>
          <w:szCs w:val="20"/>
        </w:rPr>
        <w:t>This event</w:t>
      </w:r>
      <w:r w:rsidR="00D57238">
        <w:rPr>
          <w:rFonts w:ascii="Verdana" w:hAnsi="Verdana" w:cs="Seravek"/>
          <w:sz w:val="20"/>
          <w:szCs w:val="20"/>
        </w:rPr>
        <w:t xml:space="preserve"> </w:t>
      </w:r>
      <w:r w:rsidRPr="00321072">
        <w:rPr>
          <w:rFonts w:ascii="Verdana" w:hAnsi="Verdana" w:cs="Seravek"/>
          <w:sz w:val="20"/>
          <w:szCs w:val="20"/>
        </w:rPr>
        <w:t xml:space="preserve">considered the </w:t>
      </w:r>
      <w:r w:rsidR="009B7DA5" w:rsidRPr="00321072">
        <w:rPr>
          <w:rFonts w:ascii="Verdana" w:hAnsi="Verdana" w:cs="Seravek"/>
          <w:sz w:val="20"/>
          <w:szCs w:val="20"/>
        </w:rPr>
        <w:t xml:space="preserve">specific stewardship challenges </w:t>
      </w:r>
      <w:r w:rsidRPr="00321072">
        <w:rPr>
          <w:rFonts w:ascii="Verdana" w:hAnsi="Verdana" w:cs="Seravek"/>
          <w:sz w:val="20"/>
          <w:szCs w:val="20"/>
        </w:rPr>
        <w:t>associated with pool</w:t>
      </w:r>
      <w:r w:rsidR="00F71543" w:rsidRPr="00321072">
        <w:rPr>
          <w:rFonts w:ascii="Verdana" w:hAnsi="Verdana" w:cs="Seravek"/>
          <w:sz w:val="20"/>
          <w:szCs w:val="20"/>
        </w:rPr>
        <w:t>ing</w:t>
      </w:r>
      <w:r w:rsidRPr="00321072">
        <w:rPr>
          <w:rFonts w:ascii="Verdana" w:hAnsi="Verdana" w:cs="Seravek"/>
          <w:sz w:val="20"/>
          <w:szCs w:val="20"/>
        </w:rPr>
        <w:t xml:space="preserve"> investments and </w:t>
      </w:r>
      <w:r w:rsidR="00F71543" w:rsidRPr="00321072">
        <w:rPr>
          <w:rFonts w:ascii="Verdana" w:hAnsi="Verdana" w:cs="Seravek"/>
          <w:sz w:val="20"/>
          <w:szCs w:val="20"/>
        </w:rPr>
        <w:t xml:space="preserve">moving to </w:t>
      </w:r>
      <w:r w:rsidRPr="00321072">
        <w:rPr>
          <w:rFonts w:ascii="Verdana" w:hAnsi="Verdana" w:cs="Seravek"/>
          <w:sz w:val="20"/>
          <w:szCs w:val="20"/>
        </w:rPr>
        <w:t>shared ownership models</w:t>
      </w:r>
      <w:r w:rsidR="00D57238">
        <w:rPr>
          <w:rFonts w:ascii="Verdana" w:hAnsi="Verdana" w:cs="Seravek"/>
          <w:sz w:val="20"/>
          <w:szCs w:val="20"/>
        </w:rPr>
        <w:t xml:space="preserve"> including arrangements for shareholder voting and litigation</w:t>
      </w:r>
      <w:r w:rsidR="001C7692" w:rsidRPr="00321072">
        <w:rPr>
          <w:rFonts w:ascii="Verdana" w:hAnsi="Verdana" w:cs="Seravek"/>
          <w:sz w:val="20"/>
          <w:szCs w:val="20"/>
        </w:rPr>
        <w:t>.</w:t>
      </w:r>
      <w:r w:rsidR="00D57238" w:rsidRPr="00D57238">
        <w:rPr>
          <w:rFonts w:ascii="Verdana" w:hAnsi="Verdana" w:cs="Seravek"/>
          <w:sz w:val="20"/>
          <w:szCs w:val="20"/>
        </w:rPr>
        <w:t xml:space="preserve"> </w:t>
      </w:r>
      <w:r w:rsidR="00D57238">
        <w:rPr>
          <w:rFonts w:ascii="Verdana" w:hAnsi="Verdana" w:cs="Seravek"/>
          <w:sz w:val="20"/>
          <w:szCs w:val="20"/>
        </w:rPr>
        <w:t xml:space="preserve">The seminar </w:t>
      </w:r>
      <w:r w:rsidR="00D57238" w:rsidRPr="00321072">
        <w:rPr>
          <w:rFonts w:ascii="Verdana" w:hAnsi="Verdana" w:cs="Seravek"/>
          <w:sz w:val="20"/>
          <w:szCs w:val="20"/>
        </w:rPr>
        <w:t>was attended by the Chair o</w:t>
      </w:r>
      <w:r w:rsidR="00A52BD6">
        <w:rPr>
          <w:rFonts w:ascii="Verdana" w:hAnsi="Verdana" w:cs="Seravek"/>
          <w:sz w:val="20"/>
          <w:szCs w:val="20"/>
        </w:rPr>
        <w:t>f LCPF's Pension Fund Committee.</w:t>
      </w:r>
    </w:p>
    <w:p w:rsidR="00F15C55" w:rsidRPr="00321072" w:rsidRDefault="00F15C55" w:rsidP="00F15C55">
      <w:pPr>
        <w:autoSpaceDE w:val="0"/>
        <w:autoSpaceDN w:val="0"/>
        <w:adjustRightInd w:val="0"/>
        <w:spacing w:after="0" w:line="240" w:lineRule="auto"/>
        <w:ind w:firstLine="426"/>
        <w:rPr>
          <w:rFonts w:ascii="Verdana" w:hAnsi="Verdana" w:cs="Seravek"/>
          <w:sz w:val="20"/>
          <w:szCs w:val="20"/>
        </w:rPr>
      </w:pPr>
    </w:p>
    <w:p w:rsidR="00E9007D" w:rsidRPr="00321072" w:rsidRDefault="00F15C55" w:rsidP="00F15C55">
      <w:pPr>
        <w:pStyle w:val="ListParagraph"/>
        <w:numPr>
          <w:ilvl w:val="0"/>
          <w:numId w:val="39"/>
        </w:numPr>
        <w:autoSpaceDE w:val="0"/>
        <w:autoSpaceDN w:val="0"/>
        <w:adjustRightInd w:val="0"/>
        <w:spacing w:after="0" w:line="240" w:lineRule="auto"/>
        <w:ind w:left="426" w:hanging="426"/>
        <w:rPr>
          <w:rFonts w:ascii="Verdana" w:hAnsi="Verdana" w:cs="Seravek"/>
          <w:b/>
          <w:sz w:val="20"/>
          <w:szCs w:val="20"/>
        </w:rPr>
      </w:pPr>
      <w:r w:rsidRPr="00321072">
        <w:rPr>
          <w:rFonts w:ascii="Verdana" w:hAnsi="Verdana" w:cs="Seravek"/>
          <w:b/>
          <w:sz w:val="20"/>
          <w:szCs w:val="20"/>
        </w:rPr>
        <w:t xml:space="preserve">Strategic resilience resolutions at Rio Tinto, Glencore and Anglo American </w:t>
      </w:r>
    </w:p>
    <w:p w:rsidR="009B7DA5" w:rsidRPr="00321072" w:rsidRDefault="009B7DA5" w:rsidP="001C7692">
      <w:pPr>
        <w:autoSpaceDE w:val="0"/>
        <w:autoSpaceDN w:val="0"/>
        <w:adjustRightInd w:val="0"/>
        <w:spacing w:after="0" w:line="240" w:lineRule="auto"/>
        <w:ind w:left="426"/>
        <w:rPr>
          <w:rFonts w:ascii="Verdana" w:hAnsi="Verdana" w:cs="Calibri"/>
          <w:sz w:val="20"/>
          <w:szCs w:val="20"/>
        </w:rPr>
      </w:pPr>
      <w:r w:rsidRPr="00321072">
        <w:rPr>
          <w:rFonts w:ascii="Verdana" w:hAnsi="Verdana" w:cs="Seravek"/>
          <w:sz w:val="20"/>
          <w:szCs w:val="20"/>
        </w:rPr>
        <w:t xml:space="preserve">Following successful resolutions at Shell and BP, </w:t>
      </w:r>
      <w:r w:rsidR="00D57238">
        <w:rPr>
          <w:rFonts w:ascii="Verdana" w:hAnsi="Verdana" w:cs="Seravek"/>
          <w:sz w:val="20"/>
          <w:szCs w:val="20"/>
        </w:rPr>
        <w:t xml:space="preserve">LAPF has </w:t>
      </w:r>
      <w:r w:rsidRPr="00321072">
        <w:rPr>
          <w:rFonts w:ascii="Verdana" w:hAnsi="Verdana" w:cs="Seravek"/>
          <w:sz w:val="20"/>
          <w:szCs w:val="20"/>
        </w:rPr>
        <w:t>supported further s</w:t>
      </w:r>
      <w:r w:rsidR="00D57238">
        <w:rPr>
          <w:rFonts w:ascii="Verdana" w:hAnsi="Verdana" w:cs="Seravek"/>
          <w:sz w:val="20"/>
          <w:szCs w:val="20"/>
        </w:rPr>
        <w:t xml:space="preserve">trategic resilience </w:t>
      </w:r>
      <w:r w:rsidR="00D57238" w:rsidRPr="00321072">
        <w:rPr>
          <w:rFonts w:ascii="Verdana" w:hAnsi="Verdana" w:cs="Seravek"/>
          <w:sz w:val="20"/>
          <w:szCs w:val="20"/>
        </w:rPr>
        <w:t xml:space="preserve">resolutions as </w:t>
      </w:r>
      <w:r w:rsidR="00D57238">
        <w:rPr>
          <w:rFonts w:ascii="Verdana" w:hAnsi="Verdana" w:cs="Seravek"/>
          <w:sz w:val="20"/>
          <w:szCs w:val="20"/>
        </w:rPr>
        <w:t>part</w:t>
      </w:r>
      <w:r w:rsidR="00D57238" w:rsidRPr="00321072">
        <w:rPr>
          <w:rFonts w:ascii="Verdana" w:hAnsi="Verdana" w:cs="Seravek"/>
          <w:sz w:val="20"/>
          <w:szCs w:val="20"/>
        </w:rPr>
        <w:t xml:space="preserve"> of the "A</w:t>
      </w:r>
      <w:r w:rsidR="00D57238">
        <w:rPr>
          <w:rFonts w:ascii="Verdana" w:hAnsi="Verdana" w:cs="Seravek"/>
          <w:sz w:val="20"/>
          <w:szCs w:val="20"/>
        </w:rPr>
        <w:t xml:space="preserve">iming for A" coalition. Resolutions </w:t>
      </w:r>
      <w:r w:rsidR="001C7692" w:rsidRPr="00321072">
        <w:rPr>
          <w:rFonts w:ascii="Verdana" w:hAnsi="Verdana" w:cs="Seravek"/>
          <w:sz w:val="20"/>
          <w:szCs w:val="20"/>
        </w:rPr>
        <w:t xml:space="preserve">call </w:t>
      </w:r>
      <w:r w:rsidRPr="00321072">
        <w:rPr>
          <w:rFonts w:ascii="Verdana" w:hAnsi="Verdana" w:cs="Seravek"/>
          <w:sz w:val="20"/>
          <w:szCs w:val="20"/>
        </w:rPr>
        <w:t>for a</w:t>
      </w:r>
      <w:r w:rsidR="001C7692" w:rsidRPr="00321072">
        <w:rPr>
          <w:rFonts w:ascii="Verdana" w:hAnsi="Verdana" w:cs="Seravek"/>
          <w:sz w:val="20"/>
          <w:szCs w:val="20"/>
        </w:rPr>
        <w:t xml:space="preserve"> </w:t>
      </w:r>
      <w:r w:rsidR="001C7692" w:rsidRPr="00321072">
        <w:rPr>
          <w:rFonts w:ascii="Verdana" w:hAnsi="Verdana" w:cs="Calibri"/>
          <w:sz w:val="20"/>
          <w:szCs w:val="20"/>
        </w:rPr>
        <w:t>commit</w:t>
      </w:r>
      <w:r w:rsidRPr="00321072">
        <w:rPr>
          <w:rFonts w:ascii="Verdana" w:hAnsi="Verdana" w:cs="Calibri"/>
          <w:sz w:val="20"/>
          <w:szCs w:val="20"/>
        </w:rPr>
        <w:t>ment</w:t>
      </w:r>
      <w:r w:rsidR="001C7692" w:rsidRPr="00321072">
        <w:rPr>
          <w:rFonts w:ascii="Verdana" w:hAnsi="Verdana" w:cs="Calibri"/>
          <w:sz w:val="20"/>
          <w:szCs w:val="20"/>
        </w:rPr>
        <w:t xml:space="preserve"> to routine annual reporting on </w:t>
      </w:r>
    </w:p>
    <w:p w:rsidR="009B7DA5" w:rsidRPr="00321072" w:rsidRDefault="001C7692" w:rsidP="009B7DA5">
      <w:pPr>
        <w:pStyle w:val="ListParagraph"/>
        <w:numPr>
          <w:ilvl w:val="0"/>
          <w:numId w:val="41"/>
        </w:numPr>
        <w:autoSpaceDE w:val="0"/>
        <w:autoSpaceDN w:val="0"/>
        <w:adjustRightInd w:val="0"/>
        <w:spacing w:after="0" w:line="240" w:lineRule="auto"/>
        <w:rPr>
          <w:rFonts w:ascii="Verdana" w:hAnsi="Verdana" w:cs="Calibri"/>
          <w:sz w:val="20"/>
          <w:szCs w:val="20"/>
        </w:rPr>
      </w:pPr>
      <w:r w:rsidRPr="00321072">
        <w:rPr>
          <w:rFonts w:ascii="Verdana" w:hAnsi="Verdana" w:cs="Calibri"/>
          <w:sz w:val="20"/>
          <w:szCs w:val="20"/>
        </w:rPr>
        <w:t xml:space="preserve">ongoing operational emissions management; </w:t>
      </w:r>
    </w:p>
    <w:p w:rsidR="009B7DA5" w:rsidRPr="00321072" w:rsidRDefault="001C7692" w:rsidP="009B7DA5">
      <w:pPr>
        <w:pStyle w:val="ListParagraph"/>
        <w:numPr>
          <w:ilvl w:val="0"/>
          <w:numId w:val="41"/>
        </w:numPr>
        <w:autoSpaceDE w:val="0"/>
        <w:autoSpaceDN w:val="0"/>
        <w:adjustRightInd w:val="0"/>
        <w:spacing w:after="0" w:line="240" w:lineRule="auto"/>
        <w:rPr>
          <w:rFonts w:ascii="Verdana" w:hAnsi="Verdana" w:cs="Calibri"/>
          <w:sz w:val="20"/>
          <w:szCs w:val="20"/>
        </w:rPr>
      </w:pPr>
      <w:r w:rsidRPr="00321072">
        <w:rPr>
          <w:rFonts w:ascii="Verdana" w:hAnsi="Verdana" w:cs="Calibri"/>
          <w:sz w:val="20"/>
          <w:szCs w:val="20"/>
        </w:rPr>
        <w:t xml:space="preserve">asset portfolio resilience; </w:t>
      </w:r>
    </w:p>
    <w:p w:rsidR="009B7DA5" w:rsidRPr="00321072" w:rsidRDefault="001C7692" w:rsidP="009B7DA5">
      <w:pPr>
        <w:pStyle w:val="ListParagraph"/>
        <w:numPr>
          <w:ilvl w:val="0"/>
          <w:numId w:val="41"/>
        </w:numPr>
        <w:autoSpaceDE w:val="0"/>
        <w:autoSpaceDN w:val="0"/>
        <w:adjustRightInd w:val="0"/>
        <w:spacing w:after="0" w:line="240" w:lineRule="auto"/>
        <w:rPr>
          <w:rFonts w:ascii="Verdana" w:hAnsi="Verdana" w:cs="Calibri"/>
          <w:sz w:val="20"/>
          <w:szCs w:val="20"/>
        </w:rPr>
      </w:pPr>
      <w:r w:rsidRPr="00321072">
        <w:rPr>
          <w:rFonts w:ascii="Verdana" w:hAnsi="Verdana" w:cs="Calibri"/>
          <w:sz w:val="20"/>
          <w:szCs w:val="20"/>
        </w:rPr>
        <w:t xml:space="preserve">low-carbon energy research and development; </w:t>
      </w:r>
    </w:p>
    <w:p w:rsidR="009B7DA5" w:rsidRPr="00321072" w:rsidRDefault="001C7692" w:rsidP="009B7DA5">
      <w:pPr>
        <w:pStyle w:val="ListParagraph"/>
        <w:numPr>
          <w:ilvl w:val="0"/>
          <w:numId w:val="41"/>
        </w:numPr>
        <w:autoSpaceDE w:val="0"/>
        <w:autoSpaceDN w:val="0"/>
        <w:adjustRightInd w:val="0"/>
        <w:spacing w:after="0" w:line="240" w:lineRule="auto"/>
        <w:rPr>
          <w:rFonts w:ascii="Verdana" w:hAnsi="Verdana" w:cs="Calibri"/>
          <w:sz w:val="20"/>
          <w:szCs w:val="20"/>
        </w:rPr>
      </w:pPr>
      <w:r w:rsidRPr="00321072">
        <w:rPr>
          <w:rFonts w:ascii="Verdana" w:hAnsi="Verdana" w:cs="Calibri"/>
          <w:sz w:val="20"/>
          <w:szCs w:val="20"/>
        </w:rPr>
        <w:t>strategic</w:t>
      </w:r>
      <w:r w:rsidR="009B7DA5" w:rsidRPr="00321072">
        <w:rPr>
          <w:rFonts w:ascii="Verdana" w:hAnsi="Verdana" w:cs="Calibri"/>
          <w:sz w:val="20"/>
          <w:szCs w:val="20"/>
        </w:rPr>
        <w:t xml:space="preserve"> key performance indictors;</w:t>
      </w:r>
    </w:p>
    <w:p w:rsidR="009B7DA5" w:rsidRPr="00321072" w:rsidRDefault="001C7692" w:rsidP="009B7DA5">
      <w:pPr>
        <w:pStyle w:val="ListParagraph"/>
        <w:numPr>
          <w:ilvl w:val="0"/>
          <w:numId w:val="41"/>
        </w:numPr>
        <w:autoSpaceDE w:val="0"/>
        <w:autoSpaceDN w:val="0"/>
        <w:adjustRightInd w:val="0"/>
        <w:spacing w:after="0" w:line="240" w:lineRule="auto"/>
        <w:rPr>
          <w:rFonts w:ascii="Verdana" w:hAnsi="Verdana" w:cs="Seravek"/>
          <w:sz w:val="20"/>
          <w:szCs w:val="20"/>
        </w:rPr>
      </w:pPr>
      <w:r w:rsidRPr="00321072">
        <w:rPr>
          <w:rFonts w:ascii="Verdana" w:hAnsi="Verdana" w:cs="Calibri"/>
          <w:sz w:val="20"/>
          <w:szCs w:val="20"/>
        </w:rPr>
        <w:t>relevant public policy positions</w:t>
      </w:r>
      <w:r w:rsidRPr="00321072">
        <w:rPr>
          <w:rFonts w:ascii="Verdana" w:hAnsi="Verdana" w:cs="Seravek"/>
          <w:sz w:val="20"/>
          <w:szCs w:val="20"/>
        </w:rPr>
        <w:t xml:space="preserve">. </w:t>
      </w:r>
      <w:r w:rsidR="00F71543" w:rsidRPr="00321072">
        <w:rPr>
          <w:rFonts w:ascii="Verdana" w:hAnsi="Verdana" w:cs="Seravek"/>
          <w:sz w:val="20"/>
          <w:szCs w:val="20"/>
        </w:rPr>
        <w:t xml:space="preserve"> </w:t>
      </w:r>
    </w:p>
    <w:p w:rsidR="00D57238" w:rsidRDefault="00CA3E64" w:rsidP="00D57238">
      <w:pPr>
        <w:autoSpaceDE w:val="0"/>
        <w:autoSpaceDN w:val="0"/>
        <w:adjustRightInd w:val="0"/>
        <w:spacing w:after="0" w:line="240" w:lineRule="auto"/>
        <w:ind w:left="426"/>
        <w:rPr>
          <w:rFonts w:ascii="Verdana" w:hAnsi="Verdana" w:cs="Seravek-Light"/>
          <w:sz w:val="20"/>
          <w:szCs w:val="20"/>
        </w:rPr>
      </w:pPr>
      <w:r w:rsidRPr="00321072">
        <w:rPr>
          <w:rFonts w:ascii="Verdana" w:hAnsi="Verdana" w:cs="Seravek"/>
          <w:sz w:val="20"/>
          <w:szCs w:val="20"/>
        </w:rPr>
        <w:t xml:space="preserve">The </w:t>
      </w:r>
      <w:r w:rsidR="00BA6EB9">
        <w:rPr>
          <w:rFonts w:ascii="Verdana" w:hAnsi="Verdana" w:cs="Seravek"/>
          <w:sz w:val="20"/>
          <w:szCs w:val="20"/>
        </w:rPr>
        <w:t xml:space="preserve">resilience </w:t>
      </w:r>
      <w:r w:rsidRPr="00321072">
        <w:rPr>
          <w:rFonts w:ascii="Verdana" w:hAnsi="Verdana" w:cs="Seravek"/>
          <w:sz w:val="20"/>
          <w:szCs w:val="20"/>
        </w:rPr>
        <w:t xml:space="preserve">resolutions </w:t>
      </w:r>
      <w:r w:rsidR="009B7DA5" w:rsidRPr="00321072">
        <w:rPr>
          <w:rFonts w:ascii="Calibri" w:hAnsi="Calibri" w:cs="Calibri"/>
          <w:sz w:val="24"/>
          <w:szCs w:val="24"/>
        </w:rPr>
        <w:t xml:space="preserve">were strongly </w:t>
      </w:r>
      <w:r w:rsidR="009B7DA5" w:rsidRPr="00321072">
        <w:rPr>
          <w:rFonts w:ascii="Verdana" w:hAnsi="Verdana" w:cs="Seravek"/>
          <w:sz w:val="20"/>
          <w:szCs w:val="20"/>
        </w:rPr>
        <w:t xml:space="preserve">supported by shareholders with results reflecting a </w:t>
      </w:r>
      <w:r w:rsidR="009B7DA5" w:rsidRPr="00321072">
        <w:rPr>
          <w:rFonts w:ascii="Verdana" w:hAnsi="Verdana" w:cs="Seravek-Light"/>
          <w:sz w:val="20"/>
          <w:szCs w:val="20"/>
        </w:rPr>
        <w:t xml:space="preserve">99.1% vote in favour at </w:t>
      </w:r>
      <w:r w:rsidRPr="00321072">
        <w:rPr>
          <w:rFonts w:ascii="Verdana" w:hAnsi="Verdana" w:cs="Seravek-Light"/>
          <w:sz w:val="20"/>
          <w:szCs w:val="20"/>
        </w:rPr>
        <w:t xml:space="preserve">Rio Tinto, </w:t>
      </w:r>
      <w:r w:rsidR="009B7DA5" w:rsidRPr="00321072">
        <w:rPr>
          <w:rFonts w:ascii="Verdana" w:hAnsi="Verdana" w:cs="Seravek-Light"/>
          <w:sz w:val="20"/>
          <w:szCs w:val="20"/>
        </w:rPr>
        <w:t xml:space="preserve">96% at </w:t>
      </w:r>
      <w:r w:rsidR="00F71543" w:rsidRPr="00321072">
        <w:rPr>
          <w:rFonts w:ascii="Verdana" w:hAnsi="Verdana" w:cs="Seravek-Light"/>
          <w:sz w:val="20"/>
          <w:szCs w:val="20"/>
        </w:rPr>
        <w:t>Anglo American</w:t>
      </w:r>
      <w:r w:rsidR="009B7DA5" w:rsidRPr="00321072">
        <w:rPr>
          <w:rFonts w:ascii="Verdana" w:hAnsi="Verdana" w:cs="Seravek-Light"/>
          <w:sz w:val="20"/>
          <w:szCs w:val="20"/>
        </w:rPr>
        <w:t xml:space="preserve"> and</w:t>
      </w:r>
      <w:r w:rsidR="00F71543" w:rsidRPr="00321072">
        <w:rPr>
          <w:rFonts w:ascii="Verdana" w:hAnsi="Verdana" w:cs="Seravek-Light"/>
          <w:sz w:val="20"/>
          <w:szCs w:val="20"/>
        </w:rPr>
        <w:t xml:space="preserve"> </w:t>
      </w:r>
      <w:r w:rsidR="009B7DA5" w:rsidRPr="00321072">
        <w:rPr>
          <w:rFonts w:ascii="Verdana" w:hAnsi="Verdana" w:cs="Seravek-Light"/>
          <w:sz w:val="20"/>
          <w:szCs w:val="20"/>
        </w:rPr>
        <w:t xml:space="preserve">98% at </w:t>
      </w:r>
      <w:r w:rsidRPr="00321072">
        <w:rPr>
          <w:rFonts w:ascii="Verdana" w:hAnsi="Verdana" w:cs="Seravek-Light"/>
          <w:sz w:val="20"/>
          <w:szCs w:val="20"/>
        </w:rPr>
        <w:t>Glencore.</w:t>
      </w:r>
      <w:r w:rsidR="00D57238">
        <w:rPr>
          <w:rFonts w:ascii="Verdana" w:hAnsi="Verdana" w:cs="Seravek-Light"/>
          <w:sz w:val="20"/>
          <w:szCs w:val="20"/>
        </w:rPr>
        <w:t xml:space="preserve"> </w:t>
      </w:r>
    </w:p>
    <w:p w:rsidR="00D57238" w:rsidRDefault="00D57238" w:rsidP="00D57238">
      <w:pPr>
        <w:autoSpaceDE w:val="0"/>
        <w:autoSpaceDN w:val="0"/>
        <w:adjustRightInd w:val="0"/>
        <w:spacing w:after="0" w:line="240" w:lineRule="auto"/>
        <w:ind w:left="426"/>
        <w:rPr>
          <w:rFonts w:ascii="Verdana" w:hAnsi="Verdana" w:cs="Seravek-Light"/>
          <w:sz w:val="20"/>
          <w:szCs w:val="20"/>
        </w:rPr>
      </w:pPr>
    </w:p>
    <w:p w:rsidR="00E9007D" w:rsidRPr="00D57238" w:rsidRDefault="00D57238" w:rsidP="00D57238">
      <w:pPr>
        <w:autoSpaceDE w:val="0"/>
        <w:autoSpaceDN w:val="0"/>
        <w:adjustRightInd w:val="0"/>
        <w:spacing w:after="0" w:line="240" w:lineRule="auto"/>
        <w:rPr>
          <w:rFonts w:ascii="Verdana" w:hAnsi="Verdana" w:cs="Seravek-Light"/>
          <w:sz w:val="20"/>
          <w:szCs w:val="20"/>
        </w:rPr>
      </w:pPr>
      <w:r>
        <w:rPr>
          <w:rFonts w:ascii="Verdana" w:hAnsi="Verdana" w:cs="Seravek-Light"/>
          <w:sz w:val="20"/>
          <w:szCs w:val="20"/>
        </w:rPr>
        <w:t xml:space="preserve">LCPF has no direct holdings in </w:t>
      </w:r>
      <w:r w:rsidR="00A52BD6">
        <w:rPr>
          <w:rFonts w:ascii="Verdana" w:hAnsi="Verdana" w:cs="Seravek-Light"/>
          <w:sz w:val="20"/>
          <w:szCs w:val="20"/>
        </w:rPr>
        <w:t xml:space="preserve">any of </w:t>
      </w:r>
      <w:r>
        <w:rPr>
          <w:rFonts w:ascii="Verdana" w:hAnsi="Verdana" w:cs="Seravek-Light"/>
          <w:sz w:val="20"/>
          <w:szCs w:val="20"/>
        </w:rPr>
        <w:t xml:space="preserve">the </w:t>
      </w:r>
      <w:r w:rsidR="000819F9">
        <w:rPr>
          <w:rFonts w:ascii="Verdana" w:hAnsi="Verdana" w:cs="Seravek-Light"/>
          <w:sz w:val="20"/>
          <w:szCs w:val="20"/>
        </w:rPr>
        <w:t xml:space="preserve">three </w:t>
      </w:r>
      <w:r>
        <w:rPr>
          <w:rFonts w:ascii="Verdana" w:hAnsi="Verdana" w:cs="Seravek-Light"/>
          <w:sz w:val="20"/>
          <w:szCs w:val="20"/>
        </w:rPr>
        <w:t xml:space="preserve">companies at which resilience resolutions were filed but </w:t>
      </w:r>
      <w:r w:rsidR="008D2D67">
        <w:rPr>
          <w:rFonts w:ascii="Verdana" w:hAnsi="Verdana" w:cs="Seravek-Light"/>
          <w:sz w:val="20"/>
          <w:szCs w:val="20"/>
        </w:rPr>
        <w:t xml:space="preserve">gave support (in its capacity as </w:t>
      </w:r>
      <w:r>
        <w:rPr>
          <w:rFonts w:ascii="Verdana" w:hAnsi="Verdana" w:cs="Seravek-Light"/>
          <w:sz w:val="20"/>
          <w:szCs w:val="20"/>
        </w:rPr>
        <w:t>a LAPFF member</w:t>
      </w:r>
      <w:r w:rsidR="008D2D67">
        <w:rPr>
          <w:rFonts w:ascii="Verdana" w:hAnsi="Verdana" w:cs="Seravek-Light"/>
          <w:sz w:val="20"/>
          <w:szCs w:val="20"/>
        </w:rPr>
        <w:t>)</w:t>
      </w:r>
      <w:r>
        <w:rPr>
          <w:rFonts w:ascii="Verdana" w:hAnsi="Verdana" w:cs="Seravek-Light"/>
          <w:sz w:val="20"/>
          <w:szCs w:val="20"/>
        </w:rPr>
        <w:t xml:space="preserve"> </w:t>
      </w:r>
      <w:r w:rsidR="008D2D67">
        <w:rPr>
          <w:rFonts w:ascii="Verdana" w:hAnsi="Verdana" w:cs="Seravek-Light"/>
          <w:sz w:val="20"/>
          <w:szCs w:val="20"/>
        </w:rPr>
        <w:t>to</w:t>
      </w:r>
      <w:r>
        <w:rPr>
          <w:rFonts w:ascii="Verdana" w:hAnsi="Verdana" w:cs="Seravek-Light"/>
          <w:sz w:val="20"/>
          <w:szCs w:val="20"/>
        </w:rPr>
        <w:t xml:space="preserve"> the initiative which aims to increase ongoing focus on financial risks posed by climate change.   </w:t>
      </w:r>
    </w:p>
    <w:p w:rsidR="00E9007D" w:rsidRPr="00321072" w:rsidRDefault="00E9007D" w:rsidP="00197BA3">
      <w:pPr>
        <w:pStyle w:val="ListParagraph"/>
        <w:autoSpaceDE w:val="0"/>
        <w:autoSpaceDN w:val="0"/>
        <w:adjustRightInd w:val="0"/>
        <w:spacing w:after="0"/>
        <w:ind w:left="0"/>
        <w:rPr>
          <w:rFonts w:ascii="Verdana" w:hAnsi="Verdana" w:cs="NimbusSanL-Regu"/>
          <w:sz w:val="20"/>
          <w:szCs w:val="20"/>
        </w:rPr>
      </w:pPr>
    </w:p>
    <w:p w:rsidR="0030477F" w:rsidRPr="00321072" w:rsidRDefault="009674D1" w:rsidP="009674D1">
      <w:pPr>
        <w:autoSpaceDE w:val="0"/>
        <w:autoSpaceDN w:val="0"/>
        <w:adjustRightInd w:val="0"/>
        <w:spacing w:after="0" w:line="240" w:lineRule="auto"/>
        <w:rPr>
          <w:rFonts w:ascii="Verdana" w:hAnsi="Verdana" w:cs="Seravek-Light"/>
          <w:sz w:val="20"/>
          <w:szCs w:val="20"/>
        </w:rPr>
      </w:pPr>
      <w:r w:rsidRPr="00321072">
        <w:rPr>
          <w:rFonts w:ascii="Verdana" w:hAnsi="Verdana" w:cs="NimbusSanL-Regu"/>
          <w:sz w:val="20"/>
          <w:szCs w:val="20"/>
        </w:rPr>
        <w:t xml:space="preserve">The </w:t>
      </w:r>
      <w:r w:rsidR="009B7DA5" w:rsidRPr="00321072">
        <w:rPr>
          <w:rFonts w:ascii="Verdana" w:hAnsi="Verdana" w:cs="NimbusSanL-Regu"/>
          <w:sz w:val="20"/>
          <w:szCs w:val="20"/>
        </w:rPr>
        <w:t xml:space="preserve">LAPFF </w:t>
      </w:r>
      <w:r w:rsidR="00EA1C04">
        <w:rPr>
          <w:rFonts w:ascii="Verdana" w:hAnsi="Verdana" w:cs="NimbusSanL-Regu"/>
          <w:sz w:val="20"/>
          <w:szCs w:val="20"/>
        </w:rPr>
        <w:t xml:space="preserve">Engagement Report </w:t>
      </w:r>
      <w:r w:rsidR="00A52BD6">
        <w:rPr>
          <w:rFonts w:ascii="Verdana" w:hAnsi="Verdana" w:cs="NimbusSanL-Regu"/>
          <w:sz w:val="20"/>
          <w:szCs w:val="20"/>
        </w:rPr>
        <w:t xml:space="preserve">at Appendix 1 </w:t>
      </w:r>
      <w:r w:rsidR="00CA3E64" w:rsidRPr="00321072">
        <w:rPr>
          <w:rFonts w:ascii="Verdana" w:hAnsi="Verdana" w:cs="NimbusSanL-Regu"/>
          <w:sz w:val="20"/>
          <w:szCs w:val="20"/>
        </w:rPr>
        <w:t>includes</w:t>
      </w:r>
      <w:r w:rsidRPr="00321072">
        <w:rPr>
          <w:rFonts w:ascii="Verdana" w:hAnsi="Verdana" w:cs="NimbusSanL-Regu"/>
          <w:sz w:val="20"/>
          <w:szCs w:val="20"/>
        </w:rPr>
        <w:t xml:space="preserve"> </w:t>
      </w:r>
      <w:r w:rsidR="0030477F" w:rsidRPr="00321072">
        <w:rPr>
          <w:rFonts w:ascii="Verdana" w:hAnsi="Verdana" w:cs="NimbusSanL-Regu"/>
          <w:sz w:val="20"/>
          <w:szCs w:val="20"/>
        </w:rPr>
        <w:t xml:space="preserve">detailed </w:t>
      </w:r>
      <w:r w:rsidR="0079735A">
        <w:rPr>
          <w:rFonts w:ascii="Verdana" w:hAnsi="Verdana" w:cs="NimbusSanL-Regu"/>
          <w:sz w:val="20"/>
          <w:szCs w:val="20"/>
        </w:rPr>
        <w:t>information</w:t>
      </w:r>
      <w:r w:rsidRPr="00321072">
        <w:rPr>
          <w:rFonts w:ascii="Verdana" w:hAnsi="Verdana" w:cs="NimbusSanL-Regu"/>
          <w:sz w:val="20"/>
          <w:szCs w:val="20"/>
        </w:rPr>
        <w:t xml:space="preserve"> on </w:t>
      </w:r>
      <w:r w:rsidR="00A52BD6">
        <w:rPr>
          <w:rFonts w:ascii="Verdana" w:hAnsi="Verdana" w:cs="NimbusSanL-Regu"/>
          <w:sz w:val="20"/>
          <w:szCs w:val="20"/>
        </w:rPr>
        <w:t xml:space="preserve">engagement activity within </w:t>
      </w:r>
      <w:r w:rsidRPr="00321072">
        <w:rPr>
          <w:rFonts w:ascii="Verdana" w:hAnsi="Verdana" w:cs="NimbusSanL-Regu"/>
          <w:sz w:val="20"/>
          <w:szCs w:val="20"/>
        </w:rPr>
        <w:t>the quarter</w:t>
      </w:r>
      <w:r w:rsidR="00A52BD6">
        <w:rPr>
          <w:rFonts w:ascii="Verdana" w:hAnsi="Verdana" w:cs="NimbusSanL-Regu"/>
          <w:sz w:val="20"/>
          <w:szCs w:val="20"/>
        </w:rPr>
        <w:t xml:space="preserve"> which included attendance at </w:t>
      </w:r>
      <w:r w:rsidRPr="00321072">
        <w:rPr>
          <w:rFonts w:ascii="Verdana" w:hAnsi="Verdana" w:cs="NimbusSanL-Regu"/>
          <w:sz w:val="20"/>
          <w:szCs w:val="20"/>
        </w:rPr>
        <w:t xml:space="preserve">13 AGMs to </w:t>
      </w:r>
      <w:r w:rsidRPr="00321072">
        <w:rPr>
          <w:rFonts w:ascii="Verdana" w:hAnsi="Verdana" w:cs="Seravek-Light"/>
          <w:sz w:val="20"/>
          <w:szCs w:val="20"/>
        </w:rPr>
        <w:t>raise issues ranging from</w:t>
      </w:r>
      <w:r w:rsidR="00CA3E64" w:rsidRPr="00321072">
        <w:rPr>
          <w:rFonts w:ascii="Verdana" w:hAnsi="Verdana" w:cs="Seravek-Light"/>
          <w:sz w:val="20"/>
          <w:szCs w:val="20"/>
        </w:rPr>
        <w:t xml:space="preserve"> remuneration </w:t>
      </w:r>
      <w:r w:rsidRPr="00321072">
        <w:rPr>
          <w:rFonts w:ascii="Verdana" w:hAnsi="Verdana" w:cs="Seravek-Light"/>
          <w:sz w:val="20"/>
          <w:szCs w:val="20"/>
        </w:rPr>
        <w:t xml:space="preserve">to supply chain management. </w:t>
      </w:r>
      <w:r w:rsidR="00FC38C1">
        <w:rPr>
          <w:rFonts w:ascii="Verdana" w:hAnsi="Verdana" w:cs="Seravek-Light"/>
          <w:sz w:val="20"/>
          <w:szCs w:val="20"/>
        </w:rPr>
        <w:t>Q</w:t>
      </w:r>
      <w:r w:rsidR="0030477F" w:rsidRPr="00321072">
        <w:rPr>
          <w:rFonts w:ascii="Verdana" w:hAnsi="Verdana" w:cs="Seravek-Light"/>
          <w:sz w:val="20"/>
          <w:szCs w:val="20"/>
        </w:rPr>
        <w:t>uantification of engagements across thematic topics</w:t>
      </w:r>
      <w:r w:rsidR="00E0367E" w:rsidRPr="00321072">
        <w:rPr>
          <w:rFonts w:ascii="Verdana" w:hAnsi="Verdana" w:cs="Seravek-Light"/>
          <w:sz w:val="20"/>
          <w:szCs w:val="20"/>
        </w:rPr>
        <w:t xml:space="preserve"> </w:t>
      </w:r>
      <w:r w:rsidR="00707FD9" w:rsidRPr="00321072">
        <w:rPr>
          <w:rFonts w:ascii="Verdana" w:hAnsi="Verdana" w:cs="Seravek-Light"/>
          <w:sz w:val="20"/>
          <w:szCs w:val="20"/>
        </w:rPr>
        <w:t>shows</w:t>
      </w:r>
      <w:r w:rsidR="0030477F" w:rsidRPr="00321072">
        <w:rPr>
          <w:rFonts w:ascii="Verdana" w:hAnsi="Verdana" w:cs="Seravek-Light"/>
          <w:sz w:val="20"/>
          <w:szCs w:val="20"/>
        </w:rPr>
        <w:t xml:space="preserve"> that </w:t>
      </w:r>
      <w:r w:rsidR="00E0367E" w:rsidRPr="00321072">
        <w:rPr>
          <w:rFonts w:ascii="Verdana" w:hAnsi="Verdana" w:cs="Seravek-Light"/>
          <w:sz w:val="20"/>
          <w:szCs w:val="20"/>
        </w:rPr>
        <w:t>climate change and h</w:t>
      </w:r>
      <w:r w:rsidR="0030477F" w:rsidRPr="00321072">
        <w:rPr>
          <w:rFonts w:ascii="Verdana" w:hAnsi="Verdana" w:cs="Seravek-Light"/>
          <w:sz w:val="20"/>
          <w:szCs w:val="20"/>
        </w:rPr>
        <w:t xml:space="preserve">uman rights </w:t>
      </w:r>
      <w:r w:rsidR="00E0367E" w:rsidRPr="00321072">
        <w:rPr>
          <w:rFonts w:ascii="Verdana" w:hAnsi="Verdana" w:cs="Seravek-Light"/>
          <w:sz w:val="20"/>
          <w:szCs w:val="20"/>
        </w:rPr>
        <w:t xml:space="preserve">were the </w:t>
      </w:r>
      <w:r w:rsidR="00EA1C04" w:rsidRPr="00321072">
        <w:rPr>
          <w:rFonts w:ascii="Verdana" w:hAnsi="Verdana" w:cs="Seravek-Light"/>
          <w:sz w:val="20"/>
          <w:szCs w:val="20"/>
        </w:rPr>
        <w:t>most frequently</w:t>
      </w:r>
      <w:r w:rsidR="00EA1C04">
        <w:rPr>
          <w:rFonts w:ascii="Verdana" w:hAnsi="Verdana" w:cs="Seravek-Light"/>
          <w:sz w:val="20"/>
          <w:szCs w:val="20"/>
        </w:rPr>
        <w:t xml:space="preserve"> </w:t>
      </w:r>
      <w:r w:rsidR="00EA1C04" w:rsidRPr="00321072">
        <w:rPr>
          <w:rFonts w:ascii="Verdana" w:hAnsi="Verdana" w:cs="Seravek-Light"/>
          <w:sz w:val="20"/>
          <w:szCs w:val="20"/>
        </w:rPr>
        <w:t xml:space="preserve">raised </w:t>
      </w:r>
      <w:r w:rsidR="00707FD9" w:rsidRPr="00321072">
        <w:rPr>
          <w:rFonts w:ascii="Verdana" w:hAnsi="Verdana" w:cs="Seravek-Light"/>
          <w:sz w:val="20"/>
          <w:szCs w:val="20"/>
        </w:rPr>
        <w:t>issues</w:t>
      </w:r>
      <w:r w:rsidR="00CA3E64" w:rsidRPr="00321072">
        <w:rPr>
          <w:rFonts w:ascii="Verdana" w:hAnsi="Verdana" w:cs="Seravek-Light"/>
          <w:sz w:val="20"/>
          <w:szCs w:val="20"/>
        </w:rPr>
        <w:t>:</w:t>
      </w:r>
      <w:r w:rsidR="00E0367E" w:rsidRPr="00321072">
        <w:rPr>
          <w:rFonts w:ascii="Verdana" w:hAnsi="Verdana" w:cs="Seravek-Light"/>
          <w:sz w:val="20"/>
          <w:szCs w:val="20"/>
        </w:rPr>
        <w:t xml:space="preserve"> </w:t>
      </w:r>
    </w:p>
    <w:p w:rsidR="006F74BD" w:rsidRPr="009B7DA5" w:rsidRDefault="006F74BD" w:rsidP="009674D1">
      <w:pPr>
        <w:autoSpaceDE w:val="0"/>
        <w:autoSpaceDN w:val="0"/>
        <w:adjustRightInd w:val="0"/>
        <w:spacing w:after="0" w:line="240" w:lineRule="auto"/>
        <w:rPr>
          <w:rFonts w:ascii="Verdana" w:hAnsi="Verdana" w:cs="Seravek-Light"/>
          <w:sz w:val="20"/>
          <w:szCs w:val="20"/>
        </w:rPr>
      </w:pPr>
    </w:p>
    <w:tbl>
      <w:tblPr>
        <w:tblW w:w="5901" w:type="dxa"/>
        <w:jc w:val="center"/>
        <w:tblLook w:val="04A0" w:firstRow="1" w:lastRow="0" w:firstColumn="1" w:lastColumn="0" w:noHBand="0" w:noVBand="1"/>
      </w:tblPr>
      <w:tblGrid>
        <w:gridCol w:w="3360"/>
        <w:gridCol w:w="1581"/>
        <w:gridCol w:w="960"/>
      </w:tblGrid>
      <w:tr w:rsidR="009B7DA5" w:rsidRPr="009B7DA5" w:rsidTr="00E0367E">
        <w:trPr>
          <w:trHeight w:val="300"/>
          <w:jc w:val="center"/>
        </w:trPr>
        <w:tc>
          <w:tcPr>
            <w:tcW w:w="3360" w:type="dxa"/>
            <w:tcBorders>
              <w:top w:val="nil"/>
              <w:left w:val="nil"/>
              <w:bottom w:val="nil"/>
              <w:right w:val="nil"/>
            </w:tcBorders>
            <w:shd w:val="clear" w:color="auto" w:fill="auto"/>
            <w:noWrap/>
            <w:vAlign w:val="bottom"/>
          </w:tcPr>
          <w:p w:rsidR="00E0367E" w:rsidRPr="009B7DA5" w:rsidRDefault="00E0367E" w:rsidP="0030477F">
            <w:pPr>
              <w:spacing w:after="0" w:line="240" w:lineRule="auto"/>
              <w:rPr>
                <w:rFonts w:ascii="Verdana" w:eastAsia="Times New Roman" w:hAnsi="Verdana" w:cs="Times New Roman"/>
                <w:b/>
                <w:sz w:val="20"/>
                <w:szCs w:val="20"/>
                <w:lang w:eastAsia="en-GB"/>
              </w:rPr>
            </w:pPr>
            <w:r w:rsidRPr="009B7DA5">
              <w:rPr>
                <w:rFonts w:ascii="Verdana" w:eastAsia="Times New Roman" w:hAnsi="Verdana" w:cs="Times New Roman"/>
                <w:b/>
                <w:sz w:val="20"/>
                <w:szCs w:val="20"/>
                <w:lang w:eastAsia="en-GB"/>
              </w:rPr>
              <w:t>Engagement Topic</w:t>
            </w:r>
          </w:p>
        </w:tc>
        <w:tc>
          <w:tcPr>
            <w:tcW w:w="2541" w:type="dxa"/>
            <w:gridSpan w:val="2"/>
            <w:tcBorders>
              <w:top w:val="nil"/>
              <w:left w:val="nil"/>
              <w:bottom w:val="nil"/>
              <w:right w:val="nil"/>
            </w:tcBorders>
            <w:shd w:val="clear" w:color="auto" w:fill="auto"/>
            <w:noWrap/>
            <w:vAlign w:val="bottom"/>
          </w:tcPr>
          <w:p w:rsidR="00E0367E" w:rsidRPr="009B7DA5" w:rsidRDefault="00E0367E" w:rsidP="00E0367E">
            <w:pPr>
              <w:spacing w:after="0" w:line="240" w:lineRule="auto"/>
              <w:jc w:val="center"/>
              <w:rPr>
                <w:rFonts w:ascii="Verdana" w:eastAsia="Times New Roman" w:hAnsi="Verdana" w:cs="Times New Roman"/>
                <w:b/>
                <w:sz w:val="20"/>
                <w:szCs w:val="20"/>
                <w:lang w:eastAsia="en-GB"/>
              </w:rPr>
            </w:pPr>
            <w:r w:rsidRPr="009B7DA5">
              <w:rPr>
                <w:rFonts w:ascii="Verdana" w:eastAsia="Times New Roman" w:hAnsi="Verdana" w:cs="Times New Roman"/>
                <w:b/>
                <w:sz w:val="20"/>
                <w:szCs w:val="20"/>
                <w:lang w:eastAsia="en-GB"/>
              </w:rPr>
              <w:t>Number of Engagements</w:t>
            </w:r>
            <w:r w:rsidR="006F74BD" w:rsidRPr="009B7DA5">
              <w:rPr>
                <w:rFonts w:ascii="Verdana" w:eastAsia="Times New Roman" w:hAnsi="Verdana" w:cs="Times New Roman"/>
                <w:b/>
                <w:sz w:val="20"/>
                <w:szCs w:val="20"/>
                <w:lang w:eastAsia="en-GB"/>
              </w:rPr>
              <w:t xml:space="preserve"> by LAPFF</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Climate change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18</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30%</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Human rights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10</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17%</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Employment standards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8</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13%</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Board composition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6</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10%</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Environmental risk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5</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8%</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Remuneration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5</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8%</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Campaign (general)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2</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3%</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Governance (general)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2</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3%</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Incentivising executives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2</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3%</w:t>
            </w:r>
          </w:p>
        </w:tc>
      </w:tr>
      <w:tr w:rsidR="009B7DA5"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 xml:space="preserve">Supply chain management </w:t>
            </w:r>
          </w:p>
        </w:tc>
        <w:tc>
          <w:tcPr>
            <w:tcW w:w="1581"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2</w:t>
            </w:r>
          </w:p>
        </w:tc>
        <w:tc>
          <w:tcPr>
            <w:tcW w:w="9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3%</w:t>
            </w:r>
          </w:p>
        </w:tc>
      </w:tr>
      <w:tr w:rsidR="0030477F" w:rsidRPr="009B7DA5" w:rsidTr="00E0367E">
        <w:trPr>
          <w:trHeight w:val="300"/>
          <w:jc w:val="center"/>
        </w:trPr>
        <w:tc>
          <w:tcPr>
            <w:tcW w:w="3360" w:type="dxa"/>
            <w:tcBorders>
              <w:top w:val="nil"/>
              <w:left w:val="nil"/>
              <w:bottom w:val="nil"/>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p>
        </w:tc>
        <w:tc>
          <w:tcPr>
            <w:tcW w:w="1581" w:type="dxa"/>
            <w:tcBorders>
              <w:top w:val="single" w:sz="4" w:space="0" w:color="auto"/>
              <w:left w:val="nil"/>
              <w:bottom w:val="single" w:sz="4" w:space="0" w:color="auto"/>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60</w:t>
            </w:r>
          </w:p>
        </w:tc>
        <w:tc>
          <w:tcPr>
            <w:tcW w:w="960" w:type="dxa"/>
            <w:tcBorders>
              <w:top w:val="single" w:sz="4" w:space="0" w:color="auto"/>
              <w:left w:val="nil"/>
              <w:bottom w:val="single" w:sz="4" w:space="0" w:color="auto"/>
              <w:right w:val="nil"/>
            </w:tcBorders>
            <w:shd w:val="clear" w:color="auto" w:fill="auto"/>
            <w:noWrap/>
            <w:vAlign w:val="bottom"/>
            <w:hideMark/>
          </w:tcPr>
          <w:p w:rsidR="0030477F" w:rsidRPr="009B7DA5" w:rsidRDefault="0030477F" w:rsidP="0030477F">
            <w:pPr>
              <w:spacing w:after="0" w:line="240" w:lineRule="auto"/>
              <w:jc w:val="right"/>
              <w:rPr>
                <w:rFonts w:ascii="Verdana" w:eastAsia="Times New Roman" w:hAnsi="Verdana" w:cs="Times New Roman"/>
                <w:sz w:val="20"/>
                <w:szCs w:val="20"/>
                <w:lang w:eastAsia="en-GB"/>
              </w:rPr>
            </w:pPr>
            <w:r w:rsidRPr="009B7DA5">
              <w:rPr>
                <w:rFonts w:ascii="Verdana" w:eastAsia="Times New Roman" w:hAnsi="Verdana" w:cs="Times New Roman"/>
                <w:sz w:val="20"/>
                <w:szCs w:val="20"/>
                <w:lang w:eastAsia="en-GB"/>
              </w:rPr>
              <w:t>100%</w:t>
            </w:r>
          </w:p>
        </w:tc>
      </w:tr>
    </w:tbl>
    <w:p w:rsidR="006F7649" w:rsidRPr="00551D7E" w:rsidRDefault="00EA1C04" w:rsidP="006F7649">
      <w:pPr>
        <w:widowControl w:val="0"/>
        <w:spacing w:after="0"/>
        <w:outlineLvl w:val="0"/>
        <w:rPr>
          <w:rFonts w:ascii="Verdana" w:eastAsia="Times New Roman" w:hAnsi="Verdana"/>
          <w:bCs/>
          <w:sz w:val="20"/>
          <w:szCs w:val="20"/>
        </w:rPr>
      </w:pPr>
      <w:r>
        <w:rPr>
          <w:rFonts w:ascii="Verdana" w:eastAsia="Times New Roman" w:hAnsi="Verdana"/>
          <w:bCs/>
          <w:sz w:val="20"/>
          <w:szCs w:val="20"/>
        </w:rPr>
        <w:t xml:space="preserve">As its provider of investment management services, </w:t>
      </w:r>
      <w:r w:rsidR="00F7731E" w:rsidRPr="00551D7E">
        <w:rPr>
          <w:rFonts w:ascii="Verdana" w:eastAsia="Times New Roman" w:hAnsi="Verdana"/>
          <w:bCs/>
          <w:sz w:val="20"/>
          <w:szCs w:val="20"/>
        </w:rPr>
        <w:t xml:space="preserve">LPP I </w:t>
      </w:r>
      <w:r w:rsidR="00BC02E5">
        <w:rPr>
          <w:rFonts w:ascii="Verdana" w:eastAsia="Times New Roman" w:hAnsi="Verdana"/>
          <w:bCs/>
          <w:sz w:val="20"/>
          <w:szCs w:val="20"/>
        </w:rPr>
        <w:t xml:space="preserve">supports and </w:t>
      </w:r>
      <w:r w:rsidR="00F7731E" w:rsidRPr="00551D7E">
        <w:rPr>
          <w:rFonts w:ascii="Verdana" w:eastAsia="Times New Roman" w:hAnsi="Verdana"/>
          <w:bCs/>
          <w:sz w:val="20"/>
          <w:szCs w:val="20"/>
        </w:rPr>
        <w:t xml:space="preserve">represents </w:t>
      </w:r>
      <w:r>
        <w:rPr>
          <w:rFonts w:ascii="Verdana" w:eastAsia="Times New Roman" w:hAnsi="Verdana"/>
          <w:bCs/>
          <w:sz w:val="20"/>
          <w:szCs w:val="20"/>
        </w:rPr>
        <w:t xml:space="preserve">the </w:t>
      </w:r>
      <w:r w:rsidR="00F7731E" w:rsidRPr="00551D7E">
        <w:rPr>
          <w:rFonts w:ascii="Verdana" w:eastAsia="Times New Roman" w:hAnsi="Verdana"/>
          <w:bCs/>
          <w:sz w:val="20"/>
          <w:szCs w:val="20"/>
        </w:rPr>
        <w:t xml:space="preserve"> interests </w:t>
      </w:r>
      <w:r>
        <w:rPr>
          <w:rFonts w:ascii="Verdana" w:eastAsia="Times New Roman" w:hAnsi="Verdana"/>
          <w:bCs/>
          <w:sz w:val="20"/>
          <w:szCs w:val="20"/>
        </w:rPr>
        <w:t xml:space="preserve">of LCPF </w:t>
      </w:r>
      <w:r w:rsidR="006F7649" w:rsidRPr="00551D7E">
        <w:rPr>
          <w:rFonts w:ascii="Verdana" w:eastAsia="Times New Roman" w:hAnsi="Verdana"/>
          <w:bCs/>
          <w:sz w:val="20"/>
          <w:szCs w:val="20"/>
        </w:rPr>
        <w:t xml:space="preserve">as </w:t>
      </w:r>
      <w:r w:rsidR="00FC38C1">
        <w:rPr>
          <w:rFonts w:ascii="Verdana" w:eastAsia="Times New Roman" w:hAnsi="Verdana"/>
          <w:bCs/>
          <w:sz w:val="20"/>
          <w:szCs w:val="20"/>
        </w:rPr>
        <w:t>a member</w:t>
      </w:r>
      <w:r w:rsidR="006F7649" w:rsidRPr="00551D7E">
        <w:rPr>
          <w:rFonts w:ascii="Verdana" w:eastAsia="Times New Roman" w:hAnsi="Verdana"/>
          <w:bCs/>
          <w:sz w:val="20"/>
          <w:szCs w:val="20"/>
        </w:rPr>
        <w:t xml:space="preserve"> of LAPFF by attending </w:t>
      </w:r>
      <w:r w:rsidR="00FC38C1">
        <w:rPr>
          <w:rFonts w:ascii="Verdana" w:eastAsia="Times New Roman" w:hAnsi="Verdana"/>
          <w:bCs/>
          <w:sz w:val="20"/>
          <w:szCs w:val="20"/>
        </w:rPr>
        <w:t xml:space="preserve">Forum </w:t>
      </w:r>
      <w:r w:rsidR="006F7649" w:rsidRPr="00551D7E">
        <w:rPr>
          <w:rFonts w:ascii="Verdana" w:eastAsia="Times New Roman" w:hAnsi="Verdana"/>
          <w:bCs/>
          <w:sz w:val="20"/>
          <w:szCs w:val="20"/>
        </w:rPr>
        <w:t>b</w:t>
      </w:r>
      <w:r w:rsidR="00FC38C1">
        <w:rPr>
          <w:rFonts w:ascii="Verdana" w:eastAsia="Times New Roman" w:hAnsi="Verdana"/>
          <w:bCs/>
          <w:sz w:val="20"/>
          <w:szCs w:val="20"/>
        </w:rPr>
        <w:t>usiness meetings</w:t>
      </w:r>
      <w:r w:rsidR="006F7649" w:rsidRPr="00551D7E">
        <w:rPr>
          <w:rFonts w:ascii="Verdana" w:eastAsia="Times New Roman" w:hAnsi="Verdana"/>
          <w:bCs/>
          <w:sz w:val="20"/>
          <w:szCs w:val="20"/>
        </w:rPr>
        <w:t xml:space="preserve">, </w:t>
      </w:r>
      <w:r w:rsidR="0042655F" w:rsidRPr="00551D7E">
        <w:rPr>
          <w:rFonts w:ascii="Verdana" w:eastAsia="Times New Roman" w:hAnsi="Verdana"/>
          <w:bCs/>
          <w:sz w:val="20"/>
          <w:szCs w:val="20"/>
        </w:rPr>
        <w:t xml:space="preserve">exercising voting rights, </w:t>
      </w:r>
      <w:r w:rsidR="00551D7E">
        <w:rPr>
          <w:rFonts w:ascii="Verdana" w:eastAsia="Times New Roman" w:hAnsi="Verdana"/>
          <w:bCs/>
          <w:sz w:val="20"/>
          <w:szCs w:val="20"/>
        </w:rPr>
        <w:t>draft</w:t>
      </w:r>
      <w:r w:rsidR="006F7649" w:rsidRPr="00551D7E">
        <w:rPr>
          <w:rFonts w:ascii="Verdana" w:eastAsia="Times New Roman" w:hAnsi="Verdana"/>
          <w:bCs/>
          <w:sz w:val="20"/>
          <w:szCs w:val="20"/>
        </w:rPr>
        <w:t xml:space="preserve">ing </w:t>
      </w:r>
      <w:r w:rsidR="00551D7E" w:rsidRPr="00551D7E">
        <w:rPr>
          <w:rFonts w:ascii="Verdana" w:eastAsia="Times New Roman" w:hAnsi="Verdana"/>
          <w:bCs/>
          <w:sz w:val="20"/>
          <w:szCs w:val="20"/>
        </w:rPr>
        <w:t xml:space="preserve">responses and </w:t>
      </w:r>
      <w:r>
        <w:rPr>
          <w:rFonts w:ascii="Verdana" w:eastAsia="Times New Roman" w:hAnsi="Verdana"/>
          <w:bCs/>
          <w:sz w:val="20"/>
          <w:szCs w:val="20"/>
        </w:rPr>
        <w:t>feedback</w:t>
      </w:r>
      <w:r w:rsidR="006F7649" w:rsidRPr="00551D7E">
        <w:rPr>
          <w:rFonts w:ascii="Verdana" w:eastAsia="Times New Roman" w:hAnsi="Verdana"/>
          <w:bCs/>
          <w:sz w:val="20"/>
          <w:szCs w:val="20"/>
        </w:rPr>
        <w:t xml:space="preserve"> </w:t>
      </w:r>
      <w:r w:rsidR="0042655F" w:rsidRPr="00551D7E">
        <w:rPr>
          <w:rFonts w:ascii="Verdana" w:eastAsia="Times New Roman" w:hAnsi="Verdana"/>
          <w:bCs/>
          <w:sz w:val="20"/>
          <w:szCs w:val="20"/>
        </w:rPr>
        <w:t xml:space="preserve">and </w:t>
      </w:r>
      <w:r w:rsidR="006F7649" w:rsidRPr="00551D7E">
        <w:rPr>
          <w:rFonts w:ascii="Verdana" w:eastAsia="Times New Roman" w:hAnsi="Verdana"/>
          <w:bCs/>
          <w:sz w:val="20"/>
          <w:szCs w:val="20"/>
        </w:rPr>
        <w:t xml:space="preserve">identifying opportunities </w:t>
      </w:r>
      <w:r w:rsidR="0042655F" w:rsidRPr="00551D7E">
        <w:rPr>
          <w:rFonts w:ascii="Verdana" w:eastAsia="Times New Roman" w:hAnsi="Verdana"/>
          <w:bCs/>
          <w:sz w:val="20"/>
          <w:szCs w:val="20"/>
        </w:rPr>
        <w:t>for participation</w:t>
      </w:r>
      <w:r w:rsidR="006F7649" w:rsidRPr="00551D7E">
        <w:rPr>
          <w:rFonts w:ascii="Verdana" w:eastAsia="Times New Roman" w:hAnsi="Verdana"/>
          <w:bCs/>
          <w:sz w:val="20"/>
          <w:szCs w:val="20"/>
        </w:rPr>
        <w:t>.</w:t>
      </w:r>
    </w:p>
    <w:p w:rsidR="009E19DC" w:rsidRPr="00551D7E" w:rsidRDefault="009E19DC" w:rsidP="006F7649">
      <w:pPr>
        <w:widowControl w:val="0"/>
        <w:spacing w:after="0"/>
        <w:outlineLvl w:val="0"/>
        <w:rPr>
          <w:rFonts w:ascii="Verdana" w:eastAsia="Times New Roman" w:hAnsi="Verdana"/>
          <w:bCs/>
          <w:sz w:val="20"/>
          <w:szCs w:val="20"/>
        </w:rPr>
      </w:pPr>
    </w:p>
    <w:p w:rsidR="009E19DC" w:rsidRPr="00551D7E" w:rsidRDefault="009E19DC" w:rsidP="006F7649">
      <w:pPr>
        <w:widowControl w:val="0"/>
        <w:spacing w:after="0"/>
        <w:outlineLvl w:val="0"/>
        <w:rPr>
          <w:rFonts w:ascii="Verdana" w:eastAsia="Times New Roman" w:hAnsi="Verdana"/>
          <w:bCs/>
          <w:sz w:val="20"/>
          <w:szCs w:val="20"/>
        </w:rPr>
      </w:pPr>
      <w:r w:rsidRPr="00551D7E">
        <w:rPr>
          <w:rFonts w:ascii="Verdana" w:eastAsia="Times New Roman" w:hAnsi="Verdana"/>
          <w:bCs/>
          <w:sz w:val="20"/>
          <w:szCs w:val="20"/>
        </w:rPr>
        <w:t xml:space="preserve">In the last quarter </w:t>
      </w:r>
      <w:r w:rsidR="00551D7E">
        <w:rPr>
          <w:rFonts w:ascii="Verdana" w:eastAsia="Times New Roman" w:hAnsi="Verdana"/>
          <w:bCs/>
          <w:sz w:val="20"/>
          <w:szCs w:val="20"/>
        </w:rPr>
        <w:t xml:space="preserve">the Fund </w:t>
      </w:r>
      <w:r w:rsidR="00551D7E" w:rsidRPr="00551D7E">
        <w:rPr>
          <w:rFonts w:ascii="Verdana" w:eastAsia="Times New Roman" w:hAnsi="Verdana"/>
          <w:bCs/>
          <w:sz w:val="20"/>
          <w:szCs w:val="20"/>
        </w:rPr>
        <w:t xml:space="preserve">has responded to </w:t>
      </w:r>
      <w:r w:rsidRPr="00551D7E">
        <w:rPr>
          <w:rFonts w:ascii="Verdana" w:eastAsia="Times New Roman" w:hAnsi="Verdana"/>
          <w:bCs/>
          <w:sz w:val="20"/>
          <w:szCs w:val="20"/>
        </w:rPr>
        <w:t xml:space="preserve">a </w:t>
      </w:r>
      <w:r w:rsidR="00551D7E" w:rsidRPr="00551D7E">
        <w:rPr>
          <w:rFonts w:ascii="Verdana" w:eastAsia="Times New Roman" w:hAnsi="Verdana"/>
          <w:bCs/>
          <w:sz w:val="20"/>
          <w:szCs w:val="20"/>
        </w:rPr>
        <w:t xml:space="preserve">LAPFF </w:t>
      </w:r>
      <w:r w:rsidRPr="00551D7E">
        <w:rPr>
          <w:rFonts w:ascii="Verdana" w:eastAsia="Times New Roman" w:hAnsi="Verdana"/>
          <w:bCs/>
          <w:sz w:val="20"/>
          <w:szCs w:val="20"/>
        </w:rPr>
        <w:t xml:space="preserve">questionnaire on </w:t>
      </w:r>
      <w:r w:rsidR="00551D7E" w:rsidRPr="00551D7E">
        <w:rPr>
          <w:rFonts w:ascii="Verdana" w:hAnsi="Verdana"/>
          <w:sz w:val="20"/>
          <w:szCs w:val="20"/>
        </w:rPr>
        <w:t xml:space="preserve">membership </w:t>
      </w:r>
      <w:r w:rsidR="00C63D00">
        <w:rPr>
          <w:rFonts w:ascii="Verdana" w:hAnsi="Verdana"/>
          <w:sz w:val="20"/>
          <w:szCs w:val="20"/>
        </w:rPr>
        <w:t xml:space="preserve">requirements </w:t>
      </w:r>
      <w:r w:rsidR="00551D7E" w:rsidRPr="00551D7E">
        <w:rPr>
          <w:rFonts w:ascii="Verdana" w:hAnsi="Verdana"/>
          <w:sz w:val="20"/>
          <w:szCs w:val="20"/>
        </w:rPr>
        <w:t xml:space="preserve">and </w:t>
      </w:r>
      <w:r w:rsidR="00E51D19">
        <w:rPr>
          <w:rFonts w:ascii="Verdana" w:hAnsi="Verdana"/>
          <w:sz w:val="20"/>
          <w:szCs w:val="20"/>
        </w:rPr>
        <w:t xml:space="preserve">proposed </w:t>
      </w:r>
      <w:r w:rsidR="00551D7E" w:rsidRPr="00551D7E">
        <w:rPr>
          <w:rFonts w:ascii="Verdana" w:hAnsi="Verdana"/>
          <w:sz w:val="20"/>
          <w:szCs w:val="20"/>
        </w:rPr>
        <w:t>future services</w:t>
      </w:r>
      <w:r w:rsidR="00C63D00">
        <w:rPr>
          <w:rFonts w:ascii="Verdana" w:hAnsi="Verdana"/>
          <w:sz w:val="20"/>
          <w:szCs w:val="20"/>
        </w:rPr>
        <w:t xml:space="preserve">. </w:t>
      </w:r>
      <w:r w:rsidR="00A04AA5">
        <w:rPr>
          <w:rFonts w:ascii="Verdana" w:hAnsi="Verdana"/>
          <w:sz w:val="20"/>
          <w:szCs w:val="20"/>
        </w:rPr>
        <w:t>LCPF's</w:t>
      </w:r>
      <w:r w:rsidR="00C63D00">
        <w:rPr>
          <w:rFonts w:ascii="Verdana" w:hAnsi="Verdana"/>
          <w:sz w:val="20"/>
          <w:szCs w:val="20"/>
        </w:rPr>
        <w:t xml:space="preserve"> response</w:t>
      </w:r>
      <w:r w:rsidR="00551D7E" w:rsidRPr="00551D7E">
        <w:rPr>
          <w:rFonts w:ascii="Verdana" w:hAnsi="Verdana"/>
          <w:sz w:val="20"/>
          <w:szCs w:val="20"/>
        </w:rPr>
        <w:t xml:space="preserve"> </w:t>
      </w:r>
      <w:r w:rsidR="00C63D00">
        <w:rPr>
          <w:rFonts w:ascii="Verdana" w:hAnsi="Verdana"/>
          <w:sz w:val="20"/>
          <w:szCs w:val="20"/>
        </w:rPr>
        <w:t>s</w:t>
      </w:r>
      <w:r w:rsidR="00551D7E" w:rsidRPr="00551D7E">
        <w:rPr>
          <w:rFonts w:ascii="Verdana" w:hAnsi="Verdana"/>
          <w:sz w:val="20"/>
          <w:szCs w:val="20"/>
        </w:rPr>
        <w:t>tress</w:t>
      </w:r>
      <w:r w:rsidR="00C63D00">
        <w:rPr>
          <w:rFonts w:ascii="Verdana" w:hAnsi="Verdana"/>
          <w:sz w:val="20"/>
          <w:szCs w:val="20"/>
        </w:rPr>
        <w:t>ed</w:t>
      </w:r>
      <w:r w:rsidR="00551D7E" w:rsidRPr="00551D7E">
        <w:rPr>
          <w:rFonts w:ascii="Verdana" w:hAnsi="Verdana"/>
          <w:sz w:val="20"/>
          <w:szCs w:val="20"/>
        </w:rPr>
        <w:t xml:space="preserve"> the importance of LAPFF evolving to support the needs of Funds both as individual administering authorities and parties </w:t>
      </w:r>
      <w:r w:rsidR="00C63D00">
        <w:rPr>
          <w:rFonts w:ascii="Verdana" w:hAnsi="Verdana"/>
          <w:sz w:val="20"/>
          <w:szCs w:val="20"/>
        </w:rPr>
        <w:t>within</w:t>
      </w:r>
      <w:r w:rsidR="00551D7E" w:rsidRPr="00551D7E">
        <w:rPr>
          <w:rFonts w:ascii="Verdana" w:hAnsi="Verdana"/>
          <w:sz w:val="20"/>
          <w:szCs w:val="20"/>
        </w:rPr>
        <w:t xml:space="preserve"> new pool</w:t>
      </w:r>
      <w:r w:rsidR="00C63D00">
        <w:rPr>
          <w:rFonts w:ascii="Verdana" w:hAnsi="Verdana"/>
          <w:sz w:val="20"/>
          <w:szCs w:val="20"/>
        </w:rPr>
        <w:t>ing</w:t>
      </w:r>
      <w:r w:rsidR="00551D7E" w:rsidRPr="00551D7E">
        <w:rPr>
          <w:rFonts w:ascii="Verdana" w:hAnsi="Verdana"/>
          <w:sz w:val="20"/>
          <w:szCs w:val="20"/>
        </w:rPr>
        <w:t xml:space="preserve"> arrangements. </w:t>
      </w:r>
      <w:r w:rsidR="00551D7E">
        <w:rPr>
          <w:rFonts w:ascii="Verdana" w:hAnsi="Verdana"/>
          <w:sz w:val="20"/>
          <w:szCs w:val="20"/>
        </w:rPr>
        <w:t xml:space="preserve">LAPFF has subsequently contacted member funds to explain </w:t>
      </w:r>
      <w:r w:rsidR="00E51D19">
        <w:rPr>
          <w:rFonts w:ascii="Verdana" w:hAnsi="Verdana"/>
          <w:sz w:val="20"/>
          <w:szCs w:val="20"/>
        </w:rPr>
        <w:t xml:space="preserve">new </w:t>
      </w:r>
      <w:r w:rsidR="00551D7E">
        <w:rPr>
          <w:rFonts w:ascii="Verdana" w:hAnsi="Verdana"/>
          <w:sz w:val="20"/>
          <w:szCs w:val="20"/>
        </w:rPr>
        <w:t xml:space="preserve">arrangements which enable </w:t>
      </w:r>
      <w:r w:rsidR="00BC02E5">
        <w:rPr>
          <w:rFonts w:ascii="Verdana" w:hAnsi="Verdana"/>
          <w:sz w:val="20"/>
          <w:szCs w:val="20"/>
        </w:rPr>
        <w:t xml:space="preserve">emergent </w:t>
      </w:r>
      <w:r w:rsidR="00551D7E">
        <w:rPr>
          <w:rFonts w:ascii="Verdana" w:hAnsi="Verdana"/>
          <w:sz w:val="20"/>
          <w:szCs w:val="20"/>
        </w:rPr>
        <w:t xml:space="preserve">pools to nominate representatives </w:t>
      </w:r>
      <w:r w:rsidR="00E51D19">
        <w:rPr>
          <w:rFonts w:ascii="Verdana" w:hAnsi="Verdana"/>
          <w:sz w:val="20"/>
          <w:szCs w:val="20"/>
        </w:rPr>
        <w:t>to</w:t>
      </w:r>
      <w:r w:rsidR="00551D7E">
        <w:rPr>
          <w:rFonts w:ascii="Verdana" w:hAnsi="Verdana"/>
          <w:sz w:val="20"/>
          <w:szCs w:val="20"/>
        </w:rPr>
        <w:t xml:space="preserve"> attend LAPFF meetings </w:t>
      </w:r>
      <w:r w:rsidR="00E51D19">
        <w:rPr>
          <w:rFonts w:ascii="Verdana" w:hAnsi="Verdana"/>
          <w:sz w:val="20"/>
          <w:szCs w:val="20"/>
        </w:rPr>
        <w:t xml:space="preserve">in their own right </w:t>
      </w:r>
      <w:r w:rsidR="00551D7E">
        <w:rPr>
          <w:rFonts w:ascii="Verdana" w:hAnsi="Verdana"/>
          <w:sz w:val="20"/>
          <w:szCs w:val="20"/>
        </w:rPr>
        <w:t>as observers</w:t>
      </w:r>
      <w:r w:rsidR="00E51D19">
        <w:rPr>
          <w:rFonts w:ascii="Verdana" w:hAnsi="Verdana"/>
          <w:sz w:val="20"/>
          <w:szCs w:val="20"/>
        </w:rPr>
        <w:t xml:space="preserve">. </w:t>
      </w:r>
      <w:r w:rsidR="00551D7E">
        <w:rPr>
          <w:rFonts w:ascii="Verdana" w:hAnsi="Verdana"/>
          <w:sz w:val="20"/>
          <w:szCs w:val="20"/>
        </w:rPr>
        <w:t xml:space="preserve">  </w:t>
      </w:r>
      <w:r w:rsidR="00C63D00">
        <w:rPr>
          <w:rFonts w:ascii="Verdana" w:hAnsi="Verdana"/>
          <w:sz w:val="20"/>
          <w:szCs w:val="20"/>
        </w:rPr>
        <w:t>LPP</w:t>
      </w:r>
      <w:r w:rsidR="00E51D19">
        <w:rPr>
          <w:rFonts w:ascii="Verdana" w:hAnsi="Verdana"/>
          <w:sz w:val="20"/>
          <w:szCs w:val="20"/>
        </w:rPr>
        <w:t xml:space="preserve"> has responded explaining that LPP I's RI Officer will continue to routinely represent </w:t>
      </w:r>
      <w:r w:rsidR="00EA1C04">
        <w:rPr>
          <w:rFonts w:ascii="Verdana" w:hAnsi="Verdana"/>
          <w:sz w:val="20"/>
          <w:szCs w:val="20"/>
        </w:rPr>
        <w:t>its client</w:t>
      </w:r>
      <w:r w:rsidR="00C63D00">
        <w:rPr>
          <w:rFonts w:ascii="Verdana" w:hAnsi="Verdana"/>
          <w:sz w:val="20"/>
          <w:szCs w:val="20"/>
        </w:rPr>
        <w:t>s</w:t>
      </w:r>
      <w:r w:rsidR="00EA1C04">
        <w:rPr>
          <w:rFonts w:ascii="Verdana" w:hAnsi="Verdana"/>
          <w:sz w:val="20"/>
          <w:szCs w:val="20"/>
        </w:rPr>
        <w:t xml:space="preserve"> at LAPFF meetings </w:t>
      </w:r>
      <w:r w:rsidR="00E51D19">
        <w:rPr>
          <w:rFonts w:ascii="Verdana" w:hAnsi="Verdana"/>
          <w:sz w:val="20"/>
          <w:szCs w:val="20"/>
        </w:rPr>
        <w:t xml:space="preserve">and will need to retain the ability to </w:t>
      </w:r>
      <w:r w:rsidR="00BA6EB9">
        <w:rPr>
          <w:rFonts w:ascii="Verdana" w:hAnsi="Verdana"/>
          <w:sz w:val="20"/>
          <w:szCs w:val="20"/>
        </w:rPr>
        <w:t xml:space="preserve">participate, respond, and </w:t>
      </w:r>
      <w:r w:rsidR="00E51D19">
        <w:rPr>
          <w:rFonts w:ascii="Verdana" w:hAnsi="Verdana"/>
          <w:sz w:val="20"/>
          <w:szCs w:val="20"/>
        </w:rPr>
        <w:t>exercise voting rights on their b</w:t>
      </w:r>
      <w:r w:rsidR="00C63D00">
        <w:rPr>
          <w:rFonts w:ascii="Verdana" w:hAnsi="Verdana"/>
          <w:sz w:val="20"/>
          <w:szCs w:val="20"/>
        </w:rPr>
        <w:t>ehalf – something which is not envisaged</w:t>
      </w:r>
      <w:r w:rsidR="00E51D19">
        <w:rPr>
          <w:rFonts w:ascii="Verdana" w:hAnsi="Verdana"/>
          <w:sz w:val="20"/>
          <w:szCs w:val="20"/>
        </w:rPr>
        <w:t xml:space="preserve"> </w:t>
      </w:r>
      <w:r w:rsidR="00BA6EB9">
        <w:rPr>
          <w:rFonts w:ascii="Verdana" w:hAnsi="Verdana"/>
          <w:sz w:val="20"/>
          <w:szCs w:val="20"/>
        </w:rPr>
        <w:t>of</w:t>
      </w:r>
      <w:r w:rsidR="00E51D19">
        <w:rPr>
          <w:rFonts w:ascii="Verdana" w:hAnsi="Verdana"/>
          <w:sz w:val="20"/>
          <w:szCs w:val="20"/>
        </w:rPr>
        <w:t xml:space="preserve"> the new category of pool representatives who </w:t>
      </w:r>
      <w:r w:rsidR="00C63D00">
        <w:rPr>
          <w:rFonts w:ascii="Verdana" w:hAnsi="Verdana"/>
          <w:sz w:val="20"/>
          <w:szCs w:val="20"/>
        </w:rPr>
        <w:t xml:space="preserve">will </w:t>
      </w:r>
      <w:r w:rsidR="00E51D19">
        <w:rPr>
          <w:rFonts w:ascii="Verdana" w:hAnsi="Verdana"/>
          <w:sz w:val="20"/>
          <w:szCs w:val="20"/>
        </w:rPr>
        <w:t xml:space="preserve">hold observer-only status. </w:t>
      </w:r>
      <w:r w:rsidR="00C63D00">
        <w:rPr>
          <w:rFonts w:ascii="Verdana" w:hAnsi="Verdana"/>
          <w:sz w:val="20"/>
          <w:szCs w:val="20"/>
        </w:rPr>
        <w:t>The LAPFF Executive will be consider</w:t>
      </w:r>
      <w:r w:rsidR="00EA1C04">
        <w:rPr>
          <w:rFonts w:ascii="Verdana" w:hAnsi="Verdana"/>
          <w:sz w:val="20"/>
          <w:szCs w:val="20"/>
        </w:rPr>
        <w:t>ing</w:t>
      </w:r>
      <w:r w:rsidR="00C63D00">
        <w:rPr>
          <w:rFonts w:ascii="Verdana" w:hAnsi="Verdana"/>
          <w:sz w:val="20"/>
          <w:szCs w:val="20"/>
        </w:rPr>
        <w:t xml:space="preserve"> th</w:t>
      </w:r>
      <w:r w:rsidR="00706B92">
        <w:rPr>
          <w:rFonts w:ascii="Verdana" w:hAnsi="Verdana"/>
          <w:sz w:val="20"/>
          <w:szCs w:val="20"/>
        </w:rPr>
        <w:t>e</w:t>
      </w:r>
      <w:r w:rsidR="00C63D00">
        <w:rPr>
          <w:rFonts w:ascii="Verdana" w:hAnsi="Verdana"/>
          <w:sz w:val="20"/>
          <w:szCs w:val="20"/>
        </w:rPr>
        <w:t xml:space="preserve"> matter </w:t>
      </w:r>
      <w:r w:rsidR="00BA6EB9">
        <w:rPr>
          <w:rFonts w:ascii="Verdana" w:hAnsi="Verdana"/>
          <w:sz w:val="20"/>
          <w:szCs w:val="20"/>
        </w:rPr>
        <w:t>at their next meeting.</w:t>
      </w:r>
    </w:p>
    <w:p w:rsidR="002C1ACA" w:rsidRDefault="002C1ACA" w:rsidP="00E51D19">
      <w:pPr>
        <w:widowControl w:val="0"/>
        <w:spacing w:after="0"/>
        <w:outlineLvl w:val="0"/>
        <w:rPr>
          <w:rFonts w:ascii="Verdana" w:hAnsi="Verdana" w:cs="Helvetica-Bold"/>
          <w:b/>
          <w:bCs/>
          <w:color w:val="183850" w:themeColor="text1"/>
        </w:rPr>
      </w:pPr>
    </w:p>
    <w:p w:rsidR="00E0367E" w:rsidRPr="00E51D19" w:rsidRDefault="00E0367E" w:rsidP="00E51D19">
      <w:pPr>
        <w:widowControl w:val="0"/>
        <w:spacing w:after="0"/>
        <w:outlineLvl w:val="0"/>
        <w:rPr>
          <w:rFonts w:ascii="Verdana" w:hAnsi="Verdana"/>
          <w:bCs/>
          <w:sz w:val="20"/>
          <w:szCs w:val="20"/>
        </w:rPr>
      </w:pPr>
      <w:r w:rsidRPr="009B7DA5">
        <w:rPr>
          <w:rFonts w:ascii="Verdana" w:eastAsia="Times New Roman" w:hAnsi="Verdana"/>
          <w:bCs/>
          <w:sz w:val="20"/>
          <w:szCs w:val="20"/>
        </w:rPr>
        <w:t>LAPFF's most recent quarterly Business Meeting took place</w:t>
      </w:r>
      <w:r w:rsidRPr="00E0367E">
        <w:rPr>
          <w:rFonts w:ascii="Verdana" w:eastAsia="Times New Roman" w:hAnsi="Verdana"/>
          <w:bCs/>
          <w:sz w:val="20"/>
          <w:szCs w:val="20"/>
        </w:rPr>
        <w:t xml:space="preserve"> on </w:t>
      </w:r>
      <w:r w:rsidRPr="00E0367E">
        <w:rPr>
          <w:rFonts w:ascii="Verdana" w:hAnsi="Verdana"/>
          <w:bCs/>
          <w:sz w:val="20"/>
          <w:szCs w:val="20"/>
        </w:rPr>
        <w:t>28</w:t>
      </w:r>
      <w:r w:rsidRPr="00E0367E">
        <w:rPr>
          <w:rFonts w:ascii="Verdana" w:hAnsi="Verdana"/>
          <w:bCs/>
          <w:sz w:val="20"/>
          <w:szCs w:val="20"/>
          <w:vertAlign w:val="superscript"/>
        </w:rPr>
        <w:t>th</w:t>
      </w:r>
      <w:r w:rsidRPr="00E0367E">
        <w:rPr>
          <w:rFonts w:ascii="Verdana" w:hAnsi="Verdana"/>
          <w:bCs/>
          <w:sz w:val="20"/>
          <w:szCs w:val="20"/>
        </w:rPr>
        <w:t xml:space="preserve"> June 2016</w:t>
      </w:r>
      <w:r w:rsidR="006F7649" w:rsidRPr="00F7731E">
        <w:rPr>
          <w:rFonts w:ascii="Verdana" w:hAnsi="Verdana"/>
          <w:bCs/>
          <w:sz w:val="20"/>
          <w:szCs w:val="20"/>
        </w:rPr>
        <w:t xml:space="preserve">. </w:t>
      </w:r>
      <w:r w:rsidR="0042655F">
        <w:rPr>
          <w:rFonts w:ascii="Verdana" w:hAnsi="Verdana"/>
          <w:bCs/>
          <w:sz w:val="20"/>
          <w:szCs w:val="20"/>
        </w:rPr>
        <w:t>H</w:t>
      </w:r>
      <w:r w:rsidR="00E04E64">
        <w:rPr>
          <w:rFonts w:ascii="Verdana" w:hAnsi="Verdana" w:cs="Verdana"/>
          <w:sz w:val="20"/>
          <w:szCs w:val="20"/>
        </w:rPr>
        <w:t xml:space="preserve">eadlines </w:t>
      </w:r>
      <w:r w:rsidR="00BC02E5">
        <w:rPr>
          <w:rFonts w:ascii="Verdana" w:hAnsi="Verdana" w:cs="Verdana"/>
          <w:sz w:val="20"/>
          <w:szCs w:val="20"/>
        </w:rPr>
        <w:t xml:space="preserve">from the meeting </w:t>
      </w:r>
      <w:r w:rsidRPr="00E0367E">
        <w:rPr>
          <w:rFonts w:ascii="Verdana" w:hAnsi="Verdana" w:cs="Verdana"/>
          <w:sz w:val="20"/>
          <w:szCs w:val="20"/>
        </w:rPr>
        <w:t>include the following matters:</w:t>
      </w:r>
    </w:p>
    <w:p w:rsidR="006F74BD" w:rsidRPr="00E0367E" w:rsidRDefault="006F74BD" w:rsidP="00E0367E">
      <w:pPr>
        <w:spacing w:after="0"/>
        <w:rPr>
          <w:rFonts w:ascii="Verdana" w:eastAsia="Times New Roman" w:hAnsi="Verdana"/>
          <w:bCs/>
          <w:color w:val="183850" w:themeColor="text1"/>
          <w:sz w:val="20"/>
          <w:szCs w:val="20"/>
        </w:rPr>
      </w:pPr>
    </w:p>
    <w:p w:rsidR="002C1ACA" w:rsidRPr="00706B92" w:rsidRDefault="0042655F" w:rsidP="00F16C8C">
      <w:pPr>
        <w:pStyle w:val="ListParagraph"/>
        <w:numPr>
          <w:ilvl w:val="0"/>
          <w:numId w:val="44"/>
        </w:numPr>
        <w:autoSpaceDE w:val="0"/>
        <w:autoSpaceDN w:val="0"/>
        <w:adjustRightInd w:val="0"/>
        <w:ind w:left="567" w:hanging="567"/>
        <w:rPr>
          <w:rFonts w:ascii="Verdana" w:hAnsi="Verdana"/>
          <w:b/>
          <w:bCs/>
          <w:sz w:val="20"/>
          <w:szCs w:val="20"/>
        </w:rPr>
      </w:pPr>
      <w:r w:rsidRPr="00706B92">
        <w:rPr>
          <w:rFonts w:ascii="Verdana" w:hAnsi="Verdana"/>
          <w:b/>
          <w:bCs/>
          <w:sz w:val="20"/>
          <w:szCs w:val="20"/>
        </w:rPr>
        <w:t>All Party Parliamentary Group on Local Authority Pension Funds</w:t>
      </w:r>
      <w:r w:rsidR="002C1ACA" w:rsidRPr="00706B92">
        <w:rPr>
          <w:rFonts w:ascii="Verdana" w:hAnsi="Verdana"/>
          <w:b/>
          <w:bCs/>
          <w:sz w:val="20"/>
          <w:szCs w:val="20"/>
        </w:rPr>
        <w:t xml:space="preserve"> </w:t>
      </w:r>
    </w:p>
    <w:p w:rsidR="002C1ACA" w:rsidRPr="006061AE" w:rsidRDefault="002C1ACA" w:rsidP="00F16C8C">
      <w:pPr>
        <w:autoSpaceDE w:val="0"/>
        <w:autoSpaceDN w:val="0"/>
        <w:adjustRightInd w:val="0"/>
        <w:spacing w:after="0"/>
        <w:ind w:left="567"/>
        <w:rPr>
          <w:rFonts w:ascii="Verdana" w:hAnsi="Verdana" w:cs="Helvetica"/>
          <w:sz w:val="20"/>
          <w:szCs w:val="20"/>
        </w:rPr>
      </w:pPr>
      <w:r w:rsidRPr="006061AE">
        <w:rPr>
          <w:rFonts w:ascii="Verdana" w:hAnsi="Verdana"/>
          <w:bCs/>
          <w:sz w:val="20"/>
          <w:szCs w:val="20"/>
        </w:rPr>
        <w:t xml:space="preserve">The minutes of the </w:t>
      </w:r>
      <w:r w:rsidR="00EA1C04" w:rsidRPr="006061AE">
        <w:rPr>
          <w:rFonts w:ascii="Verdana" w:hAnsi="Verdana"/>
          <w:bCs/>
          <w:sz w:val="20"/>
          <w:szCs w:val="20"/>
        </w:rPr>
        <w:t xml:space="preserve">LAPFF Executive meeting </w:t>
      </w:r>
      <w:r w:rsidR="00EA1C04">
        <w:rPr>
          <w:rFonts w:ascii="Verdana" w:hAnsi="Verdana"/>
          <w:bCs/>
          <w:sz w:val="20"/>
          <w:szCs w:val="20"/>
        </w:rPr>
        <w:t xml:space="preserve">on </w:t>
      </w:r>
      <w:r w:rsidRPr="006061AE">
        <w:rPr>
          <w:rFonts w:ascii="Verdana" w:hAnsi="Verdana"/>
          <w:bCs/>
          <w:sz w:val="20"/>
          <w:szCs w:val="20"/>
        </w:rPr>
        <w:t xml:space="preserve">8 June 2016 </w:t>
      </w:r>
      <w:r w:rsidR="00EA1C04">
        <w:rPr>
          <w:rFonts w:ascii="Verdana" w:hAnsi="Verdana"/>
          <w:bCs/>
          <w:sz w:val="20"/>
          <w:szCs w:val="20"/>
        </w:rPr>
        <w:t xml:space="preserve">confirm </w:t>
      </w:r>
      <w:r w:rsidR="00BC02E5">
        <w:rPr>
          <w:rFonts w:ascii="Verdana" w:hAnsi="Verdana"/>
          <w:bCs/>
          <w:sz w:val="20"/>
          <w:szCs w:val="20"/>
        </w:rPr>
        <w:t xml:space="preserve">that </w:t>
      </w:r>
      <w:r w:rsidRPr="006061AE">
        <w:rPr>
          <w:rFonts w:ascii="Verdana" w:hAnsi="Verdana" w:cs="Helvetica"/>
          <w:sz w:val="20"/>
          <w:szCs w:val="20"/>
        </w:rPr>
        <w:t xml:space="preserve">the inaugural meeting </w:t>
      </w:r>
      <w:r w:rsidR="00EA1C04">
        <w:rPr>
          <w:rFonts w:ascii="Verdana" w:hAnsi="Verdana" w:cs="Helvetica"/>
          <w:sz w:val="20"/>
          <w:szCs w:val="20"/>
        </w:rPr>
        <w:t xml:space="preserve">of the APPG </w:t>
      </w:r>
      <w:r w:rsidRPr="006061AE">
        <w:rPr>
          <w:rFonts w:ascii="Verdana" w:hAnsi="Verdana" w:cs="Helvetica"/>
          <w:sz w:val="20"/>
          <w:szCs w:val="20"/>
        </w:rPr>
        <w:t>was well received, with civil servant attendance indicating that it was being t</w:t>
      </w:r>
      <w:r w:rsidR="006061AE" w:rsidRPr="006061AE">
        <w:rPr>
          <w:rFonts w:ascii="Verdana" w:hAnsi="Verdana" w:cs="Helvetica"/>
          <w:sz w:val="20"/>
          <w:szCs w:val="20"/>
        </w:rPr>
        <w:t xml:space="preserve">aken seriously. Clive Betts MP was </w:t>
      </w:r>
      <w:r w:rsidRPr="006061AE">
        <w:rPr>
          <w:rFonts w:ascii="Verdana" w:hAnsi="Verdana" w:cs="Helvetica"/>
          <w:sz w:val="20"/>
          <w:szCs w:val="20"/>
        </w:rPr>
        <w:t>appointed chair with an</w:t>
      </w:r>
      <w:r w:rsidR="00EA1C04">
        <w:rPr>
          <w:rFonts w:ascii="Verdana" w:hAnsi="Verdana" w:cs="Helvetica"/>
          <w:sz w:val="20"/>
          <w:szCs w:val="20"/>
        </w:rPr>
        <w:t xml:space="preserve"> SNP MP appointed as vice chair</w:t>
      </w:r>
      <w:r w:rsidRPr="006061AE">
        <w:rPr>
          <w:rFonts w:ascii="Verdana" w:hAnsi="Verdana" w:cs="Helvetica"/>
          <w:sz w:val="20"/>
          <w:szCs w:val="20"/>
        </w:rPr>
        <w:t xml:space="preserve"> and a proposal for a Conservative representative as a second vice-chair. </w:t>
      </w:r>
    </w:p>
    <w:p w:rsidR="00706B92" w:rsidRDefault="00706B92" w:rsidP="00F16C8C">
      <w:pPr>
        <w:autoSpaceDE w:val="0"/>
        <w:autoSpaceDN w:val="0"/>
        <w:adjustRightInd w:val="0"/>
        <w:spacing w:after="0" w:line="240" w:lineRule="auto"/>
        <w:ind w:left="709" w:hanging="720"/>
        <w:rPr>
          <w:rFonts w:ascii="Verdana" w:hAnsi="Verdana" w:cs="Helvetica"/>
          <w:sz w:val="20"/>
          <w:szCs w:val="20"/>
        </w:rPr>
      </w:pPr>
    </w:p>
    <w:p w:rsidR="006061AE" w:rsidRDefault="00BC02E5" w:rsidP="00F16C8C">
      <w:pPr>
        <w:autoSpaceDE w:val="0"/>
        <w:autoSpaceDN w:val="0"/>
        <w:adjustRightInd w:val="0"/>
        <w:spacing w:after="0" w:line="240" w:lineRule="auto"/>
        <w:ind w:left="567"/>
        <w:rPr>
          <w:rFonts w:ascii="Verdana" w:hAnsi="Verdana" w:cs="Helvetica"/>
          <w:sz w:val="20"/>
          <w:szCs w:val="20"/>
        </w:rPr>
      </w:pPr>
      <w:r>
        <w:rPr>
          <w:rFonts w:ascii="Verdana" w:hAnsi="Verdana" w:cs="Helvetica"/>
          <w:sz w:val="20"/>
          <w:szCs w:val="20"/>
        </w:rPr>
        <w:t xml:space="preserve">A wide range of interested parties were in attendance including </w:t>
      </w:r>
      <w:r w:rsidR="002C1ACA" w:rsidRPr="006061AE">
        <w:rPr>
          <w:rFonts w:ascii="Verdana" w:hAnsi="Verdana" w:cs="Helvetica"/>
          <w:sz w:val="20"/>
          <w:szCs w:val="20"/>
        </w:rPr>
        <w:t>Lord Bob Kerslake and Michael Johnson along with Jeff Houston and representatives from the CBI, Investment Association and PLSA. The LAPFF Executive agreed that it was important to ensure RI issues feature</w:t>
      </w:r>
      <w:r>
        <w:rPr>
          <w:rFonts w:ascii="Verdana" w:hAnsi="Verdana" w:cs="Helvetica"/>
          <w:sz w:val="20"/>
          <w:szCs w:val="20"/>
        </w:rPr>
        <w:t xml:space="preserve"> strongly</w:t>
      </w:r>
      <w:r w:rsidR="002C1ACA" w:rsidRPr="006061AE">
        <w:rPr>
          <w:rFonts w:ascii="Verdana" w:hAnsi="Verdana" w:cs="Helvetica"/>
          <w:sz w:val="20"/>
          <w:szCs w:val="20"/>
        </w:rPr>
        <w:t xml:space="preserve"> on the APPG agenda. </w:t>
      </w:r>
    </w:p>
    <w:p w:rsidR="00706B92" w:rsidRPr="006061AE" w:rsidRDefault="00706B92" w:rsidP="00F16C8C">
      <w:pPr>
        <w:autoSpaceDE w:val="0"/>
        <w:autoSpaceDN w:val="0"/>
        <w:adjustRightInd w:val="0"/>
        <w:spacing w:after="0" w:line="240" w:lineRule="auto"/>
        <w:ind w:left="709" w:hanging="720"/>
        <w:rPr>
          <w:rFonts w:ascii="Verdana" w:hAnsi="Verdana" w:cs="Helvetica"/>
          <w:sz w:val="20"/>
          <w:szCs w:val="20"/>
        </w:rPr>
      </w:pPr>
    </w:p>
    <w:p w:rsidR="0042655F" w:rsidRPr="006061AE" w:rsidRDefault="0042655F" w:rsidP="00F16C8C">
      <w:pPr>
        <w:spacing w:after="0"/>
        <w:ind w:left="567"/>
        <w:rPr>
          <w:rFonts w:ascii="Verdana" w:hAnsi="Verdana"/>
          <w:sz w:val="20"/>
          <w:szCs w:val="20"/>
          <w:lang w:val="en-US" w:eastAsia="en-GB"/>
        </w:rPr>
      </w:pPr>
      <w:r w:rsidRPr="006061AE">
        <w:rPr>
          <w:rFonts w:ascii="Verdana" w:hAnsi="Verdana"/>
          <w:sz w:val="20"/>
          <w:szCs w:val="20"/>
          <w:lang w:val="en-US"/>
        </w:rPr>
        <w:t xml:space="preserve">The APPG website at </w:t>
      </w:r>
      <w:hyperlink r:id="rId9" w:history="1">
        <w:r w:rsidRPr="006061AE">
          <w:rPr>
            <w:rStyle w:val="Hyperlink"/>
            <w:rFonts w:ascii="Verdana" w:hAnsi="Verdana" w:cs="Arial"/>
            <w:color w:val="auto"/>
            <w:sz w:val="20"/>
            <w:szCs w:val="20"/>
          </w:rPr>
          <w:t>www.appglocalpensionfunds.org</w:t>
        </w:r>
      </w:hyperlink>
      <w:r w:rsidRPr="006061AE">
        <w:rPr>
          <w:rFonts w:ascii="Verdana" w:hAnsi="Verdana"/>
          <w:sz w:val="20"/>
          <w:szCs w:val="20"/>
        </w:rPr>
        <w:t xml:space="preserve"> </w:t>
      </w:r>
      <w:r w:rsidRPr="006061AE">
        <w:rPr>
          <w:rFonts w:ascii="Verdana" w:hAnsi="Verdana"/>
          <w:sz w:val="20"/>
          <w:szCs w:val="20"/>
          <w:lang w:val="en-US" w:eastAsia="en-GB"/>
        </w:rPr>
        <w:t>contains limited information</w:t>
      </w:r>
      <w:r w:rsidRPr="006061AE">
        <w:rPr>
          <w:rFonts w:ascii="Verdana" w:hAnsi="Verdana"/>
          <w:sz w:val="20"/>
          <w:szCs w:val="20"/>
          <w:lang w:val="en-US"/>
        </w:rPr>
        <w:t xml:space="preserve"> at present but </w:t>
      </w:r>
      <w:r w:rsidRPr="006061AE">
        <w:rPr>
          <w:rFonts w:ascii="Verdana" w:hAnsi="Verdana"/>
          <w:sz w:val="20"/>
          <w:szCs w:val="20"/>
          <w:lang w:val="en-US" w:eastAsia="en-GB"/>
        </w:rPr>
        <w:t xml:space="preserve">lists the 20 MPs who are members </w:t>
      </w:r>
      <w:r w:rsidRPr="006061AE">
        <w:rPr>
          <w:rFonts w:ascii="Verdana" w:hAnsi="Verdana"/>
          <w:sz w:val="20"/>
          <w:szCs w:val="20"/>
          <w:lang w:val="en-US"/>
        </w:rPr>
        <w:t>and confirms that t</w:t>
      </w:r>
      <w:r w:rsidR="006061AE">
        <w:rPr>
          <w:rFonts w:ascii="Verdana" w:hAnsi="Verdana"/>
          <w:sz w:val="20"/>
          <w:szCs w:val="20"/>
          <w:lang w:val="en-US"/>
        </w:rPr>
        <w:t>he main focuses of the Gro</w:t>
      </w:r>
      <w:r w:rsidRPr="006061AE">
        <w:rPr>
          <w:rFonts w:ascii="Verdana" w:hAnsi="Verdana"/>
          <w:sz w:val="20"/>
          <w:szCs w:val="20"/>
          <w:lang w:val="en-US"/>
        </w:rPr>
        <w:t>up will be:</w:t>
      </w:r>
    </w:p>
    <w:p w:rsidR="0042655F" w:rsidRPr="00706B92" w:rsidRDefault="0042655F" w:rsidP="00706B92">
      <w:pPr>
        <w:pStyle w:val="ListParagraph"/>
        <w:numPr>
          <w:ilvl w:val="0"/>
          <w:numId w:val="44"/>
        </w:numPr>
        <w:shd w:val="clear" w:color="auto" w:fill="FFFFFF"/>
        <w:tabs>
          <w:tab w:val="left" w:pos="1134"/>
        </w:tabs>
        <w:spacing w:after="0" w:line="240" w:lineRule="auto"/>
        <w:ind w:hanging="11"/>
        <w:rPr>
          <w:rFonts w:ascii="Verdana" w:hAnsi="Verdana"/>
          <w:sz w:val="20"/>
          <w:szCs w:val="20"/>
          <w:lang w:val="en-US" w:eastAsia="en-GB"/>
        </w:rPr>
      </w:pPr>
      <w:r w:rsidRPr="00706B92">
        <w:rPr>
          <w:rFonts w:ascii="Verdana" w:hAnsi="Verdana"/>
          <w:sz w:val="20"/>
          <w:szCs w:val="20"/>
          <w:lang w:val="en-US" w:eastAsia="en-GB"/>
        </w:rPr>
        <w:t>The use of pension fund money for infrastructure, local growth and housing</w:t>
      </w:r>
    </w:p>
    <w:p w:rsidR="0042655F" w:rsidRPr="00706B92" w:rsidRDefault="0042655F" w:rsidP="00706B92">
      <w:pPr>
        <w:pStyle w:val="ListParagraph"/>
        <w:numPr>
          <w:ilvl w:val="0"/>
          <w:numId w:val="44"/>
        </w:numPr>
        <w:shd w:val="clear" w:color="auto" w:fill="FFFFFF"/>
        <w:tabs>
          <w:tab w:val="left" w:pos="1134"/>
        </w:tabs>
        <w:spacing w:after="0" w:line="240" w:lineRule="auto"/>
        <w:ind w:hanging="11"/>
        <w:rPr>
          <w:rFonts w:ascii="Verdana" w:hAnsi="Verdana"/>
          <w:sz w:val="20"/>
          <w:szCs w:val="20"/>
          <w:lang w:val="en-US" w:eastAsia="en-GB"/>
        </w:rPr>
      </w:pPr>
      <w:r w:rsidRPr="00706B92">
        <w:rPr>
          <w:rFonts w:ascii="Verdana" w:hAnsi="Verdana"/>
          <w:sz w:val="20"/>
          <w:szCs w:val="20"/>
          <w:lang w:val="en-US" w:eastAsia="en-GB"/>
        </w:rPr>
        <w:t>The role of pension funds in corporate governance and shareholder activism</w:t>
      </w:r>
    </w:p>
    <w:p w:rsidR="0042655F" w:rsidRPr="00706B92" w:rsidRDefault="0042655F" w:rsidP="00706B92">
      <w:pPr>
        <w:pStyle w:val="ListParagraph"/>
        <w:numPr>
          <w:ilvl w:val="0"/>
          <w:numId w:val="44"/>
        </w:numPr>
        <w:shd w:val="clear" w:color="auto" w:fill="FFFFFF"/>
        <w:tabs>
          <w:tab w:val="left" w:pos="1134"/>
        </w:tabs>
        <w:spacing w:after="0" w:line="240" w:lineRule="auto"/>
        <w:ind w:left="1134" w:hanging="425"/>
        <w:rPr>
          <w:rFonts w:ascii="Verdana" w:hAnsi="Verdana"/>
          <w:sz w:val="20"/>
          <w:szCs w:val="20"/>
          <w:lang w:val="en-US" w:eastAsia="en-GB"/>
        </w:rPr>
      </w:pPr>
      <w:r w:rsidRPr="00706B92">
        <w:rPr>
          <w:rFonts w:ascii="Verdana" w:hAnsi="Verdana"/>
          <w:sz w:val="20"/>
          <w:szCs w:val="20"/>
          <w:lang w:val="en-US" w:eastAsia="en-GB"/>
        </w:rPr>
        <w:t>Reforms to the LGPS (new investment guidelines and government plans for pooling of funds)</w:t>
      </w:r>
    </w:p>
    <w:p w:rsidR="0042655F" w:rsidRPr="006061AE" w:rsidRDefault="0042655F" w:rsidP="00F16C8C">
      <w:pPr>
        <w:shd w:val="clear" w:color="auto" w:fill="FFFFFF"/>
        <w:spacing w:after="0"/>
        <w:ind w:left="567"/>
        <w:rPr>
          <w:rFonts w:ascii="Verdana" w:hAnsi="Verdana"/>
          <w:sz w:val="20"/>
          <w:szCs w:val="20"/>
          <w:lang w:val="en-US" w:eastAsia="en-GB"/>
        </w:rPr>
      </w:pPr>
      <w:r w:rsidRPr="006061AE">
        <w:rPr>
          <w:rFonts w:ascii="Verdana" w:hAnsi="Verdana"/>
          <w:sz w:val="20"/>
          <w:szCs w:val="20"/>
          <w:lang w:val="en-US" w:eastAsia="en-GB"/>
        </w:rPr>
        <w:t xml:space="preserve">APPG </w:t>
      </w:r>
      <w:r w:rsidR="006061AE" w:rsidRPr="006061AE">
        <w:rPr>
          <w:rFonts w:ascii="Verdana" w:hAnsi="Verdana"/>
          <w:sz w:val="20"/>
          <w:szCs w:val="20"/>
          <w:lang w:val="en-US" w:eastAsia="en-GB"/>
        </w:rPr>
        <w:t xml:space="preserve">meetings </w:t>
      </w:r>
      <w:r w:rsidRPr="006061AE">
        <w:rPr>
          <w:rFonts w:ascii="Verdana" w:hAnsi="Verdana"/>
          <w:sz w:val="20"/>
          <w:szCs w:val="20"/>
          <w:lang w:val="en-US" w:eastAsia="en-GB"/>
        </w:rPr>
        <w:t xml:space="preserve">will take the format of an informal round table and offer </w:t>
      </w:r>
      <w:r w:rsidR="00706B92">
        <w:rPr>
          <w:rFonts w:ascii="Verdana" w:hAnsi="Verdana"/>
          <w:sz w:val="20"/>
          <w:szCs w:val="20"/>
          <w:lang w:val="en-US" w:eastAsia="en-GB"/>
        </w:rPr>
        <w:t xml:space="preserve">an </w:t>
      </w:r>
      <w:r w:rsidRPr="006061AE">
        <w:rPr>
          <w:rFonts w:ascii="Verdana" w:hAnsi="Verdana"/>
          <w:sz w:val="20"/>
          <w:szCs w:val="20"/>
          <w:lang w:val="en-US" w:eastAsia="en-GB"/>
        </w:rPr>
        <w:t xml:space="preserve">opportunity to place issues in front of MPs from the local perspective. </w:t>
      </w:r>
    </w:p>
    <w:p w:rsidR="006061AE" w:rsidRDefault="006061AE" w:rsidP="00706B92">
      <w:pPr>
        <w:spacing w:after="0"/>
        <w:jc w:val="both"/>
        <w:rPr>
          <w:rFonts w:ascii="Verdana" w:hAnsi="Verdana" w:cs="Helvetica"/>
          <w:b/>
          <w:sz w:val="20"/>
          <w:szCs w:val="20"/>
        </w:rPr>
      </w:pPr>
    </w:p>
    <w:p w:rsidR="00E51D19" w:rsidRPr="00706B92" w:rsidRDefault="00E51D19" w:rsidP="00F16C8C">
      <w:pPr>
        <w:pStyle w:val="ListParagraph"/>
        <w:numPr>
          <w:ilvl w:val="0"/>
          <w:numId w:val="45"/>
        </w:numPr>
        <w:autoSpaceDE w:val="0"/>
        <w:autoSpaceDN w:val="0"/>
        <w:adjustRightInd w:val="0"/>
        <w:spacing w:after="0"/>
        <w:ind w:left="567" w:hanging="567"/>
        <w:rPr>
          <w:rFonts w:ascii="Verdana" w:hAnsi="Verdana" w:cs="Helvetica-Bold"/>
          <w:b/>
          <w:bCs/>
          <w:sz w:val="20"/>
          <w:szCs w:val="20"/>
        </w:rPr>
      </w:pPr>
      <w:r w:rsidRPr="00706B92">
        <w:rPr>
          <w:rFonts w:ascii="Verdana" w:hAnsi="Verdana" w:cs="Helvetica-Bold"/>
          <w:b/>
          <w:bCs/>
          <w:sz w:val="20"/>
          <w:szCs w:val="20"/>
        </w:rPr>
        <w:t>LAPFF Guide to ‘Co-filing’ Shareholder Resolutions</w:t>
      </w:r>
    </w:p>
    <w:p w:rsidR="00E51D19" w:rsidRPr="00EA1C04" w:rsidRDefault="00F92450" w:rsidP="00F16C8C">
      <w:pPr>
        <w:autoSpaceDE w:val="0"/>
        <w:autoSpaceDN w:val="0"/>
        <w:adjustRightInd w:val="0"/>
        <w:spacing w:after="0" w:line="240" w:lineRule="auto"/>
        <w:ind w:left="567"/>
        <w:rPr>
          <w:rFonts w:ascii="Verdana" w:hAnsi="Verdana" w:cs="Helvetica-Bold"/>
          <w:bCs/>
          <w:sz w:val="20"/>
          <w:szCs w:val="20"/>
        </w:rPr>
      </w:pPr>
      <w:r w:rsidRPr="00EA1C04">
        <w:rPr>
          <w:rFonts w:ascii="Verdana" w:hAnsi="Verdana" w:cs="Helvetica-Bold"/>
          <w:bCs/>
          <w:sz w:val="20"/>
          <w:szCs w:val="20"/>
        </w:rPr>
        <w:t>A</w:t>
      </w:r>
      <w:r w:rsidR="00E51D19" w:rsidRPr="00EA1C04">
        <w:rPr>
          <w:rFonts w:ascii="Verdana" w:hAnsi="Verdana" w:cs="Helvetica-Bold"/>
          <w:bCs/>
          <w:sz w:val="20"/>
          <w:szCs w:val="20"/>
        </w:rPr>
        <w:t xml:space="preserve"> new LAPFF guide </w:t>
      </w:r>
      <w:r w:rsidRPr="00EA1C04">
        <w:rPr>
          <w:rFonts w:ascii="Verdana" w:hAnsi="Verdana" w:cs="Helvetica-Bold"/>
          <w:bCs/>
          <w:sz w:val="20"/>
          <w:szCs w:val="20"/>
        </w:rPr>
        <w:t xml:space="preserve">has been published which </w:t>
      </w:r>
      <w:r w:rsidR="00E51D19" w:rsidRPr="00EA1C04">
        <w:rPr>
          <w:rFonts w:ascii="Verdana" w:hAnsi="Verdana" w:cs="Helvetica-Bold"/>
          <w:bCs/>
          <w:sz w:val="20"/>
          <w:szCs w:val="20"/>
        </w:rPr>
        <w:t xml:space="preserve">explains </w:t>
      </w:r>
      <w:r w:rsidR="00BC02E5">
        <w:rPr>
          <w:rFonts w:ascii="Verdana" w:hAnsi="Verdana" w:cs="Helvetica-Bold"/>
          <w:bCs/>
          <w:sz w:val="20"/>
          <w:szCs w:val="20"/>
        </w:rPr>
        <w:t xml:space="preserve">in detail </w:t>
      </w:r>
      <w:r w:rsidR="00E51D19" w:rsidRPr="00EA1C04">
        <w:rPr>
          <w:rFonts w:ascii="Verdana" w:hAnsi="Verdana" w:cs="Helvetica-Bold"/>
          <w:bCs/>
          <w:sz w:val="20"/>
          <w:szCs w:val="20"/>
        </w:rPr>
        <w:t>the process, requi</w:t>
      </w:r>
      <w:r w:rsidRPr="00EA1C04">
        <w:rPr>
          <w:rFonts w:ascii="Verdana" w:hAnsi="Verdana" w:cs="Helvetica-Bold"/>
          <w:bCs/>
          <w:sz w:val="20"/>
          <w:szCs w:val="20"/>
        </w:rPr>
        <w:t xml:space="preserve">rements and timeframes involved with co-filing shareholder resolutions as an extension of </w:t>
      </w:r>
      <w:r w:rsidR="00706B92">
        <w:rPr>
          <w:rFonts w:ascii="Verdana" w:hAnsi="Verdana" w:cs="Helvetica-Bold"/>
          <w:bCs/>
          <w:sz w:val="20"/>
          <w:szCs w:val="20"/>
        </w:rPr>
        <w:t xml:space="preserve">existing </w:t>
      </w:r>
      <w:r w:rsidRPr="00EA1C04">
        <w:rPr>
          <w:rFonts w:ascii="Verdana" w:hAnsi="Verdana" w:cs="Helvetica-Bold"/>
          <w:bCs/>
          <w:sz w:val="20"/>
          <w:szCs w:val="20"/>
        </w:rPr>
        <w:t xml:space="preserve">voting and engagement activity. </w:t>
      </w:r>
      <w:r w:rsidR="00E51D19" w:rsidRPr="00EA1C04">
        <w:rPr>
          <w:rFonts w:ascii="Verdana" w:hAnsi="Verdana" w:cs="Helvetica-Bold"/>
          <w:bCs/>
          <w:sz w:val="20"/>
          <w:szCs w:val="20"/>
        </w:rPr>
        <w:t xml:space="preserve"> The question of how pooling </w:t>
      </w:r>
      <w:r w:rsidRPr="00EA1C04">
        <w:rPr>
          <w:rFonts w:ascii="Verdana" w:hAnsi="Verdana" w:cs="Helvetica-Bold"/>
          <w:bCs/>
          <w:sz w:val="20"/>
          <w:szCs w:val="20"/>
        </w:rPr>
        <w:t xml:space="preserve">arrangements and shared ownership </w:t>
      </w:r>
      <w:r w:rsidR="002C1ACA" w:rsidRPr="00EA1C04">
        <w:rPr>
          <w:rFonts w:ascii="Verdana" w:hAnsi="Verdana" w:cs="Helvetica-Bold"/>
          <w:bCs/>
          <w:sz w:val="20"/>
          <w:szCs w:val="20"/>
        </w:rPr>
        <w:t>may</w:t>
      </w:r>
      <w:r w:rsidR="00E51D19" w:rsidRPr="00EA1C04">
        <w:rPr>
          <w:rFonts w:ascii="Verdana" w:hAnsi="Verdana" w:cs="Helvetica-Bold"/>
          <w:bCs/>
          <w:sz w:val="20"/>
          <w:szCs w:val="20"/>
        </w:rPr>
        <w:t xml:space="preserve"> impact the ability of funds to co-file shareholder resolutions is under </w:t>
      </w:r>
      <w:r w:rsidR="00706B92">
        <w:rPr>
          <w:rFonts w:ascii="Verdana" w:hAnsi="Verdana" w:cs="Helvetica-Bold"/>
          <w:bCs/>
          <w:sz w:val="20"/>
          <w:szCs w:val="20"/>
        </w:rPr>
        <w:t xml:space="preserve">ongoing </w:t>
      </w:r>
      <w:r w:rsidR="002C1ACA" w:rsidRPr="00EA1C04">
        <w:rPr>
          <w:rFonts w:ascii="Verdana" w:hAnsi="Verdana" w:cs="Helvetica-Bold"/>
          <w:bCs/>
          <w:sz w:val="20"/>
          <w:szCs w:val="20"/>
        </w:rPr>
        <w:t>consideration</w:t>
      </w:r>
      <w:r w:rsidR="00E51D19" w:rsidRPr="00EA1C04">
        <w:rPr>
          <w:rFonts w:ascii="Verdana" w:hAnsi="Verdana" w:cs="Helvetica-Bold"/>
          <w:bCs/>
          <w:sz w:val="20"/>
          <w:szCs w:val="20"/>
        </w:rPr>
        <w:t xml:space="preserve"> </w:t>
      </w:r>
      <w:r w:rsidR="00706B92">
        <w:rPr>
          <w:rFonts w:ascii="Verdana" w:hAnsi="Verdana" w:cs="Helvetica-Bold"/>
          <w:bCs/>
          <w:sz w:val="20"/>
          <w:szCs w:val="20"/>
        </w:rPr>
        <w:t xml:space="preserve">within </w:t>
      </w:r>
      <w:r w:rsidR="00E51D19" w:rsidRPr="00EA1C04">
        <w:rPr>
          <w:rFonts w:ascii="Verdana" w:hAnsi="Verdana" w:cs="Helvetica-Bold"/>
          <w:bCs/>
          <w:sz w:val="20"/>
          <w:szCs w:val="20"/>
        </w:rPr>
        <w:t>the LAPFF work plan.</w:t>
      </w:r>
    </w:p>
    <w:p w:rsidR="006061AE" w:rsidRPr="00EA1C04" w:rsidRDefault="006061AE" w:rsidP="00706B92">
      <w:pPr>
        <w:spacing w:after="0"/>
        <w:jc w:val="both"/>
        <w:rPr>
          <w:rFonts w:ascii="Verdana" w:hAnsi="Verdana" w:cs="Helvetica"/>
          <w:b/>
          <w:sz w:val="20"/>
          <w:szCs w:val="20"/>
        </w:rPr>
      </w:pPr>
    </w:p>
    <w:p w:rsidR="006061AE" w:rsidRDefault="006061AE" w:rsidP="00F16C8C">
      <w:pPr>
        <w:pStyle w:val="ListParagraph"/>
        <w:numPr>
          <w:ilvl w:val="0"/>
          <w:numId w:val="45"/>
        </w:numPr>
        <w:spacing w:after="0"/>
        <w:ind w:left="567" w:hanging="567"/>
        <w:jc w:val="both"/>
        <w:rPr>
          <w:rFonts w:ascii="Verdana" w:hAnsi="Verdana" w:cs="Helvetica"/>
          <w:b/>
          <w:sz w:val="20"/>
          <w:szCs w:val="20"/>
        </w:rPr>
      </w:pPr>
      <w:r w:rsidRPr="00706B92">
        <w:rPr>
          <w:rFonts w:ascii="Verdana" w:hAnsi="Verdana" w:cs="Helvetica"/>
          <w:b/>
          <w:sz w:val="20"/>
          <w:szCs w:val="20"/>
        </w:rPr>
        <w:t>Campaign on Reliable Accounts</w:t>
      </w:r>
    </w:p>
    <w:p w:rsidR="00706B92" w:rsidRPr="00B91CBD" w:rsidRDefault="00706B92" w:rsidP="00F16C8C">
      <w:pPr>
        <w:autoSpaceDE w:val="0"/>
        <w:autoSpaceDN w:val="0"/>
        <w:adjustRightInd w:val="0"/>
        <w:spacing w:after="0" w:line="240" w:lineRule="auto"/>
        <w:ind w:left="567"/>
        <w:rPr>
          <w:rFonts w:ascii="Verdana" w:hAnsi="Verdana" w:cs="Helvetica-Oblique"/>
          <w:iCs/>
          <w:sz w:val="20"/>
          <w:szCs w:val="20"/>
        </w:rPr>
      </w:pPr>
      <w:r w:rsidRPr="00706B92">
        <w:rPr>
          <w:rFonts w:ascii="Verdana" w:hAnsi="Verdana" w:cs="Helvetica"/>
          <w:sz w:val="20"/>
          <w:szCs w:val="20"/>
        </w:rPr>
        <w:t xml:space="preserve">LAPFF has continued to </w:t>
      </w:r>
      <w:r w:rsidR="00131364">
        <w:rPr>
          <w:rFonts w:ascii="Verdana" w:hAnsi="Verdana" w:cs="Helvetica"/>
          <w:sz w:val="20"/>
          <w:szCs w:val="20"/>
        </w:rPr>
        <w:t xml:space="preserve">engage with </w:t>
      </w:r>
      <w:r w:rsidR="00BC02E5">
        <w:rPr>
          <w:rFonts w:ascii="Verdana" w:hAnsi="Verdana" w:cs="Helvetica"/>
          <w:sz w:val="20"/>
          <w:szCs w:val="20"/>
        </w:rPr>
        <w:t xml:space="preserve">FTSE 350 </w:t>
      </w:r>
      <w:r w:rsidR="00131364">
        <w:rPr>
          <w:rFonts w:ascii="Verdana" w:hAnsi="Verdana" w:cs="Helvetica"/>
          <w:sz w:val="20"/>
          <w:szCs w:val="20"/>
        </w:rPr>
        <w:t>companies, regulators and accounting standard</w:t>
      </w:r>
      <w:r w:rsidR="00F16C8C">
        <w:rPr>
          <w:rFonts w:ascii="Verdana" w:hAnsi="Verdana" w:cs="Helvetica"/>
          <w:sz w:val="20"/>
          <w:szCs w:val="20"/>
        </w:rPr>
        <w:t xml:space="preserve">s boards </w:t>
      </w:r>
      <w:r w:rsidR="00131364">
        <w:rPr>
          <w:rFonts w:ascii="Verdana" w:hAnsi="Verdana" w:cs="Helvetica"/>
          <w:sz w:val="20"/>
          <w:szCs w:val="20"/>
        </w:rPr>
        <w:t xml:space="preserve">on weaknesses within </w:t>
      </w:r>
      <w:r w:rsidR="00B91CBD">
        <w:rPr>
          <w:rFonts w:ascii="Verdana" w:hAnsi="Verdana" w:cs="Helvetica"/>
          <w:sz w:val="20"/>
          <w:szCs w:val="20"/>
        </w:rPr>
        <w:t xml:space="preserve">Financial </w:t>
      </w:r>
      <w:r w:rsidR="00F16C8C">
        <w:rPr>
          <w:rFonts w:ascii="Verdana" w:hAnsi="Verdana" w:cs="Helvetica"/>
          <w:sz w:val="20"/>
          <w:szCs w:val="20"/>
        </w:rPr>
        <w:t>Reporting Standards</w:t>
      </w:r>
      <w:r w:rsidR="00B91CBD">
        <w:rPr>
          <w:rFonts w:ascii="Verdana" w:hAnsi="Verdana" w:cs="Helvetica"/>
          <w:sz w:val="20"/>
          <w:szCs w:val="20"/>
        </w:rPr>
        <w:t xml:space="preserve"> and </w:t>
      </w:r>
      <w:r w:rsidR="00BC02E5">
        <w:rPr>
          <w:rFonts w:ascii="Verdana" w:hAnsi="Verdana" w:cs="Helvetica"/>
          <w:sz w:val="20"/>
          <w:szCs w:val="20"/>
        </w:rPr>
        <w:t xml:space="preserve">the </w:t>
      </w:r>
      <w:r w:rsidR="00131364">
        <w:rPr>
          <w:rFonts w:ascii="Verdana" w:hAnsi="Verdana" w:cs="Helvetica"/>
          <w:sz w:val="20"/>
          <w:szCs w:val="20"/>
        </w:rPr>
        <w:t xml:space="preserve">guidance </w:t>
      </w:r>
      <w:r w:rsidR="00682796">
        <w:rPr>
          <w:rFonts w:ascii="Verdana" w:hAnsi="Verdana" w:cs="Helvetica"/>
          <w:sz w:val="20"/>
          <w:szCs w:val="20"/>
        </w:rPr>
        <w:t xml:space="preserve">on these </w:t>
      </w:r>
      <w:r w:rsidR="00131364">
        <w:rPr>
          <w:rFonts w:ascii="Verdana" w:hAnsi="Verdana" w:cs="Helvetica"/>
          <w:sz w:val="20"/>
          <w:szCs w:val="20"/>
        </w:rPr>
        <w:t xml:space="preserve">from the Financial Reporting Council </w:t>
      </w:r>
      <w:r w:rsidR="00016924">
        <w:rPr>
          <w:rFonts w:ascii="Verdana" w:hAnsi="Verdana" w:cs="Helvetica"/>
          <w:sz w:val="20"/>
          <w:szCs w:val="20"/>
        </w:rPr>
        <w:t>(FRC)</w:t>
      </w:r>
      <w:r w:rsidR="00BC02E5">
        <w:rPr>
          <w:rFonts w:ascii="Verdana" w:hAnsi="Verdana" w:cs="Helvetica"/>
          <w:sz w:val="20"/>
          <w:szCs w:val="20"/>
        </w:rPr>
        <w:t>. The specific matter at issue is the</w:t>
      </w:r>
      <w:r w:rsidR="00B91CBD">
        <w:rPr>
          <w:rFonts w:ascii="Verdana" w:hAnsi="Verdana" w:cs="Helvetica"/>
          <w:sz w:val="20"/>
          <w:szCs w:val="20"/>
        </w:rPr>
        <w:t xml:space="preserve"> </w:t>
      </w:r>
      <w:r w:rsidR="00131364">
        <w:rPr>
          <w:rFonts w:ascii="Verdana" w:hAnsi="Verdana" w:cs="Helvetica"/>
          <w:sz w:val="20"/>
          <w:szCs w:val="20"/>
        </w:rPr>
        <w:t xml:space="preserve">disclosure </w:t>
      </w:r>
      <w:r w:rsidR="00C04D18">
        <w:rPr>
          <w:rFonts w:ascii="Verdana" w:hAnsi="Verdana" w:cs="Helvetica"/>
          <w:sz w:val="20"/>
          <w:szCs w:val="20"/>
        </w:rPr>
        <w:t xml:space="preserve">of </w:t>
      </w:r>
      <w:r w:rsidR="00B91CBD">
        <w:rPr>
          <w:rFonts w:ascii="Verdana" w:hAnsi="Verdana" w:cs="Helvetica"/>
          <w:sz w:val="20"/>
          <w:szCs w:val="20"/>
        </w:rPr>
        <w:t>distributable</w:t>
      </w:r>
      <w:r w:rsidR="00682796">
        <w:rPr>
          <w:rFonts w:ascii="Verdana" w:hAnsi="Verdana" w:cs="Helvetica"/>
          <w:sz w:val="20"/>
          <w:szCs w:val="20"/>
        </w:rPr>
        <w:t xml:space="preserve"> and non distributable reserves</w:t>
      </w:r>
      <w:r w:rsidR="00C04D18">
        <w:rPr>
          <w:rFonts w:ascii="Verdana" w:hAnsi="Verdana" w:cs="Helvetica"/>
          <w:sz w:val="20"/>
          <w:szCs w:val="20"/>
        </w:rPr>
        <w:t xml:space="preserve">. </w:t>
      </w:r>
      <w:r w:rsidR="00131364">
        <w:rPr>
          <w:rFonts w:ascii="Verdana" w:hAnsi="Verdana" w:cs="Helvetica"/>
          <w:sz w:val="20"/>
          <w:szCs w:val="20"/>
        </w:rPr>
        <w:t xml:space="preserve"> </w:t>
      </w:r>
      <w:r w:rsidR="00BC02E5">
        <w:rPr>
          <w:rFonts w:ascii="Verdana" w:hAnsi="Verdana" w:cs="Helvetica"/>
          <w:sz w:val="20"/>
          <w:szCs w:val="20"/>
        </w:rPr>
        <w:t>LAPFF argue that a</w:t>
      </w:r>
      <w:r w:rsidR="003774D8">
        <w:rPr>
          <w:rFonts w:ascii="Verdana" w:hAnsi="Verdana" w:cs="Helvetica"/>
          <w:sz w:val="20"/>
          <w:szCs w:val="20"/>
        </w:rPr>
        <w:t xml:space="preserve"> lack of adequate disclosure </w:t>
      </w:r>
      <w:r w:rsidR="00BC02E5">
        <w:rPr>
          <w:rFonts w:ascii="Verdana" w:hAnsi="Verdana" w:cs="Helvetica"/>
          <w:sz w:val="20"/>
          <w:szCs w:val="20"/>
        </w:rPr>
        <w:t>is hampering</w:t>
      </w:r>
      <w:r w:rsidR="003774D8">
        <w:rPr>
          <w:rFonts w:ascii="Verdana" w:hAnsi="Verdana" w:cs="Helvetica"/>
          <w:sz w:val="20"/>
          <w:szCs w:val="20"/>
        </w:rPr>
        <w:t xml:space="preserve"> the ability of investors to judge the underlying financial health of companies and </w:t>
      </w:r>
      <w:r w:rsidR="00BC02E5">
        <w:rPr>
          <w:rFonts w:ascii="Verdana" w:hAnsi="Verdana" w:cs="Helvetica"/>
          <w:sz w:val="20"/>
          <w:szCs w:val="20"/>
        </w:rPr>
        <w:t>is a failure</w:t>
      </w:r>
      <w:r w:rsidR="003774D8">
        <w:rPr>
          <w:rFonts w:ascii="Verdana" w:hAnsi="Verdana" w:cs="Helvetica"/>
          <w:sz w:val="20"/>
          <w:szCs w:val="20"/>
        </w:rPr>
        <w:t xml:space="preserve"> to comply with the Companies Act </w:t>
      </w:r>
      <w:r w:rsidR="00B91CBD">
        <w:rPr>
          <w:rFonts w:ascii="Verdana" w:hAnsi="Verdana" w:cs="Helvetica"/>
          <w:sz w:val="20"/>
          <w:szCs w:val="20"/>
        </w:rPr>
        <w:t xml:space="preserve">2006 </w:t>
      </w:r>
      <w:r w:rsidR="003774D8" w:rsidRPr="00B91CBD">
        <w:rPr>
          <w:rFonts w:ascii="Verdana" w:hAnsi="Verdana" w:cs="Helvetica"/>
          <w:sz w:val="20"/>
          <w:szCs w:val="20"/>
        </w:rPr>
        <w:t xml:space="preserve">requirement for accounts </w:t>
      </w:r>
      <w:r w:rsidR="00162D4F" w:rsidRPr="00B91CBD">
        <w:rPr>
          <w:rFonts w:ascii="Verdana" w:hAnsi="Verdana" w:cs="Helvetica"/>
          <w:sz w:val="20"/>
          <w:szCs w:val="20"/>
        </w:rPr>
        <w:t xml:space="preserve">which </w:t>
      </w:r>
      <w:r w:rsidR="003774D8" w:rsidRPr="00B91CBD">
        <w:rPr>
          <w:rFonts w:ascii="Verdana" w:hAnsi="Verdana" w:cs="Helvetica"/>
          <w:sz w:val="20"/>
          <w:szCs w:val="20"/>
        </w:rPr>
        <w:t xml:space="preserve">provide a true and fair view </w:t>
      </w:r>
      <w:r w:rsidR="00B91CBD" w:rsidRPr="00B91CBD">
        <w:rPr>
          <w:rFonts w:ascii="Verdana" w:hAnsi="Verdana" w:cs="Helvetica"/>
          <w:sz w:val="20"/>
          <w:szCs w:val="20"/>
        </w:rPr>
        <w:t xml:space="preserve">of </w:t>
      </w:r>
      <w:r w:rsidR="00162D4F" w:rsidRPr="00B91CBD">
        <w:rPr>
          <w:rFonts w:ascii="Verdana" w:hAnsi="Verdana" w:cs="Helvetica-Oblique"/>
          <w:iCs/>
          <w:sz w:val="20"/>
          <w:szCs w:val="20"/>
        </w:rPr>
        <w:t>th</w:t>
      </w:r>
      <w:r w:rsidR="00B91CBD" w:rsidRPr="00B91CBD">
        <w:rPr>
          <w:rFonts w:ascii="Verdana" w:hAnsi="Verdana" w:cs="Helvetica-Oblique"/>
          <w:iCs/>
          <w:sz w:val="20"/>
          <w:szCs w:val="20"/>
        </w:rPr>
        <w:t>e assets, liabil</w:t>
      </w:r>
      <w:r w:rsidR="00B91CBD">
        <w:rPr>
          <w:rFonts w:ascii="Verdana" w:hAnsi="Verdana" w:cs="Helvetica-Oblique"/>
          <w:iCs/>
          <w:sz w:val="20"/>
          <w:szCs w:val="20"/>
        </w:rPr>
        <w:t>i</w:t>
      </w:r>
      <w:r w:rsidR="00B91CBD" w:rsidRPr="00B91CBD">
        <w:rPr>
          <w:rFonts w:ascii="Verdana" w:hAnsi="Verdana" w:cs="Helvetica-Oblique"/>
          <w:iCs/>
          <w:sz w:val="20"/>
          <w:szCs w:val="20"/>
        </w:rPr>
        <w:t xml:space="preserve">ties, financial </w:t>
      </w:r>
      <w:r w:rsidR="00162D4F" w:rsidRPr="00B91CBD">
        <w:rPr>
          <w:rFonts w:ascii="Verdana" w:hAnsi="Verdana" w:cs="Helvetica-Oblique"/>
          <w:iCs/>
          <w:sz w:val="20"/>
          <w:szCs w:val="20"/>
        </w:rPr>
        <w:t>position and profit or loss</w:t>
      </w:r>
      <w:r w:rsidR="00B91CBD">
        <w:rPr>
          <w:rFonts w:ascii="Verdana" w:hAnsi="Verdana" w:cs="Helvetica-Oblique"/>
          <w:iCs/>
          <w:sz w:val="20"/>
          <w:szCs w:val="20"/>
        </w:rPr>
        <w:t xml:space="preserve"> as the basis for making lawful distributions including dividends.</w:t>
      </w:r>
    </w:p>
    <w:p w:rsidR="00016924" w:rsidRDefault="00016924" w:rsidP="00016924">
      <w:pPr>
        <w:spacing w:after="0"/>
        <w:jc w:val="both"/>
        <w:rPr>
          <w:rFonts w:ascii="Verdana" w:hAnsi="Verdana" w:cs="Helvetica"/>
          <w:sz w:val="20"/>
          <w:szCs w:val="20"/>
        </w:rPr>
      </w:pPr>
    </w:p>
    <w:p w:rsidR="00016924" w:rsidRPr="00572DCB" w:rsidRDefault="00016924" w:rsidP="00572DCB">
      <w:pPr>
        <w:pStyle w:val="ListParagraph"/>
        <w:widowControl w:val="0"/>
        <w:autoSpaceDE w:val="0"/>
        <w:autoSpaceDN w:val="0"/>
        <w:adjustRightInd w:val="0"/>
        <w:spacing w:after="0" w:line="240" w:lineRule="auto"/>
        <w:contextualSpacing w:val="0"/>
        <w:jc w:val="both"/>
        <w:rPr>
          <w:rFonts w:ascii="Verdana" w:hAnsi="Verdana" w:cs="Arial"/>
          <w:b/>
          <w:bCs/>
          <w:color w:val="54BBAB" w:themeColor="text2"/>
          <w:sz w:val="20"/>
          <w:szCs w:val="20"/>
        </w:rPr>
      </w:pPr>
    </w:p>
    <w:p w:rsidR="00197BA3" w:rsidRPr="00572DCB" w:rsidRDefault="00197BA3" w:rsidP="00F16C8C">
      <w:pPr>
        <w:pStyle w:val="ListParagraph"/>
        <w:widowControl w:val="0"/>
        <w:numPr>
          <w:ilvl w:val="0"/>
          <w:numId w:val="46"/>
        </w:numPr>
        <w:autoSpaceDE w:val="0"/>
        <w:autoSpaceDN w:val="0"/>
        <w:adjustRightInd w:val="0"/>
        <w:spacing w:after="0" w:line="240" w:lineRule="auto"/>
        <w:ind w:left="567" w:hanging="567"/>
        <w:contextualSpacing w:val="0"/>
        <w:jc w:val="both"/>
        <w:rPr>
          <w:rFonts w:ascii="Verdana" w:hAnsi="Verdana" w:cs="Arial"/>
          <w:b/>
          <w:bCs/>
          <w:color w:val="54BBAB" w:themeColor="text2"/>
          <w:sz w:val="20"/>
          <w:szCs w:val="20"/>
        </w:rPr>
      </w:pPr>
      <w:r w:rsidRPr="00707FD9">
        <w:rPr>
          <w:rFonts w:ascii="Verdana" w:hAnsi="Verdana" w:cs="Arial"/>
          <w:b/>
          <w:bCs/>
          <w:color w:val="54BBAB" w:themeColor="text2"/>
          <w:sz w:val="20"/>
          <w:szCs w:val="20"/>
        </w:rPr>
        <w:t>Shareholder Litigation</w:t>
      </w:r>
    </w:p>
    <w:p w:rsidR="00197BA3" w:rsidRPr="00572DCB" w:rsidRDefault="00197BA3" w:rsidP="00572DCB">
      <w:pPr>
        <w:pStyle w:val="ListParagraph"/>
        <w:widowControl w:val="0"/>
        <w:autoSpaceDE w:val="0"/>
        <w:autoSpaceDN w:val="0"/>
        <w:adjustRightInd w:val="0"/>
        <w:spacing w:after="0" w:line="240" w:lineRule="auto"/>
        <w:contextualSpacing w:val="0"/>
        <w:jc w:val="both"/>
        <w:rPr>
          <w:rFonts w:ascii="Verdana" w:hAnsi="Verdana" w:cs="Arial"/>
          <w:b/>
          <w:bCs/>
          <w:color w:val="54BBAB" w:themeColor="text2"/>
          <w:sz w:val="20"/>
          <w:szCs w:val="20"/>
        </w:rPr>
      </w:pPr>
    </w:p>
    <w:p w:rsidR="005443F5" w:rsidRPr="007E381E" w:rsidRDefault="00707FD9" w:rsidP="00197BA3">
      <w:pPr>
        <w:autoSpaceDE w:val="0"/>
        <w:autoSpaceDN w:val="0"/>
        <w:adjustRightInd w:val="0"/>
        <w:spacing w:after="0"/>
        <w:rPr>
          <w:rFonts w:ascii="Verdana" w:hAnsi="Verdana" w:cs="Arial"/>
          <w:sz w:val="20"/>
          <w:szCs w:val="20"/>
        </w:rPr>
      </w:pPr>
      <w:r w:rsidRPr="007E381E">
        <w:rPr>
          <w:rFonts w:ascii="Verdana" w:hAnsi="Verdana" w:cs="Arial"/>
          <w:sz w:val="20"/>
          <w:szCs w:val="20"/>
        </w:rPr>
        <w:t xml:space="preserve">Litigation offers a route for recovering financial losses where asset values have been diminished as a result of financial misconduct. </w:t>
      </w:r>
    </w:p>
    <w:p w:rsidR="005443F5" w:rsidRPr="007E381E" w:rsidRDefault="005443F5" w:rsidP="00197BA3">
      <w:pPr>
        <w:autoSpaceDE w:val="0"/>
        <w:autoSpaceDN w:val="0"/>
        <w:adjustRightInd w:val="0"/>
        <w:spacing w:after="0"/>
        <w:rPr>
          <w:rFonts w:ascii="Verdana" w:hAnsi="Verdana" w:cs="Arial"/>
          <w:sz w:val="20"/>
          <w:szCs w:val="20"/>
        </w:rPr>
      </w:pPr>
    </w:p>
    <w:p w:rsidR="00197BA3" w:rsidRPr="007E381E" w:rsidRDefault="00707FD9" w:rsidP="00197BA3">
      <w:pPr>
        <w:autoSpaceDE w:val="0"/>
        <w:autoSpaceDN w:val="0"/>
        <w:adjustRightInd w:val="0"/>
        <w:spacing w:after="0"/>
        <w:rPr>
          <w:rFonts w:ascii="Verdana" w:hAnsi="Verdana" w:cs="Arial"/>
          <w:sz w:val="20"/>
          <w:szCs w:val="20"/>
        </w:rPr>
      </w:pPr>
      <w:r w:rsidRPr="007E381E">
        <w:rPr>
          <w:rFonts w:ascii="Verdana" w:hAnsi="Verdana" w:cs="Arial"/>
          <w:sz w:val="20"/>
          <w:szCs w:val="20"/>
        </w:rPr>
        <w:t xml:space="preserve">On </w:t>
      </w:r>
      <w:r w:rsidR="00197BA3" w:rsidRPr="007E381E">
        <w:rPr>
          <w:rFonts w:ascii="Verdana" w:hAnsi="Verdana" w:cs="Arial"/>
          <w:sz w:val="20"/>
          <w:szCs w:val="20"/>
        </w:rPr>
        <w:t>LCPF</w:t>
      </w:r>
      <w:r w:rsidRPr="007E381E">
        <w:rPr>
          <w:rFonts w:ascii="Verdana" w:hAnsi="Verdana" w:cs="Arial"/>
          <w:sz w:val="20"/>
          <w:szCs w:val="20"/>
        </w:rPr>
        <w:t>'s behalf, LPP I maintains</w:t>
      </w:r>
      <w:r w:rsidR="00197BA3" w:rsidRPr="007E381E">
        <w:rPr>
          <w:rFonts w:ascii="Verdana" w:hAnsi="Verdana" w:cs="Arial"/>
          <w:sz w:val="20"/>
          <w:szCs w:val="20"/>
        </w:rPr>
        <w:t xml:space="preserve"> an up to date understanding of </w:t>
      </w:r>
      <w:r w:rsidR="005443F5" w:rsidRPr="007E381E">
        <w:rPr>
          <w:rFonts w:ascii="Verdana" w:hAnsi="Verdana" w:cs="Arial"/>
          <w:sz w:val="20"/>
          <w:szCs w:val="20"/>
        </w:rPr>
        <w:t xml:space="preserve">prospective </w:t>
      </w:r>
      <w:r w:rsidR="00197BA3" w:rsidRPr="007E381E">
        <w:rPr>
          <w:rFonts w:ascii="Verdana" w:hAnsi="Verdana" w:cs="Arial"/>
          <w:sz w:val="20"/>
          <w:szCs w:val="20"/>
        </w:rPr>
        <w:t>shareholder litigation</w:t>
      </w:r>
      <w:r w:rsidR="00682796" w:rsidRPr="007E381E">
        <w:rPr>
          <w:rFonts w:ascii="Verdana" w:hAnsi="Verdana" w:cs="Arial"/>
          <w:sz w:val="20"/>
          <w:szCs w:val="20"/>
        </w:rPr>
        <w:t>s</w:t>
      </w:r>
      <w:r w:rsidR="00197BA3" w:rsidRPr="007E381E">
        <w:rPr>
          <w:rFonts w:ascii="Verdana" w:hAnsi="Verdana" w:cs="Arial"/>
          <w:sz w:val="20"/>
          <w:szCs w:val="20"/>
        </w:rPr>
        <w:t xml:space="preserve"> </w:t>
      </w:r>
      <w:r w:rsidR="00682796" w:rsidRPr="007E381E">
        <w:rPr>
          <w:rFonts w:ascii="Verdana" w:hAnsi="Verdana" w:cs="Arial"/>
          <w:sz w:val="20"/>
          <w:szCs w:val="20"/>
        </w:rPr>
        <w:t xml:space="preserve">in which </w:t>
      </w:r>
      <w:r w:rsidRPr="007E381E">
        <w:rPr>
          <w:rFonts w:ascii="Verdana" w:hAnsi="Verdana" w:cs="Arial"/>
          <w:sz w:val="20"/>
          <w:szCs w:val="20"/>
        </w:rPr>
        <w:t>the Fun</w:t>
      </w:r>
      <w:r w:rsidR="00682796" w:rsidRPr="007E381E">
        <w:rPr>
          <w:rFonts w:ascii="Verdana" w:hAnsi="Verdana" w:cs="Arial"/>
          <w:sz w:val="20"/>
          <w:szCs w:val="20"/>
        </w:rPr>
        <w:t>d potentially has an interest</w:t>
      </w:r>
      <w:r w:rsidR="00CA3E64" w:rsidRPr="007E381E">
        <w:rPr>
          <w:rFonts w:ascii="Verdana" w:hAnsi="Verdana" w:cs="Arial"/>
          <w:sz w:val="20"/>
          <w:szCs w:val="20"/>
        </w:rPr>
        <w:t>. M</w:t>
      </w:r>
      <w:r w:rsidR="00197BA3" w:rsidRPr="007E381E">
        <w:rPr>
          <w:rFonts w:ascii="Verdana" w:hAnsi="Verdana"/>
          <w:bCs/>
          <w:sz w:val="20"/>
          <w:szCs w:val="20"/>
        </w:rPr>
        <w:t xml:space="preserve">onitoring services </w:t>
      </w:r>
      <w:r w:rsidR="00682796" w:rsidRPr="007E381E">
        <w:rPr>
          <w:rFonts w:ascii="Verdana" w:hAnsi="Verdana"/>
          <w:bCs/>
          <w:sz w:val="20"/>
          <w:szCs w:val="20"/>
        </w:rPr>
        <w:t xml:space="preserve">are </w:t>
      </w:r>
      <w:r w:rsidRPr="007E381E">
        <w:rPr>
          <w:rFonts w:ascii="Verdana" w:hAnsi="Verdana"/>
          <w:bCs/>
          <w:sz w:val="20"/>
          <w:szCs w:val="20"/>
        </w:rPr>
        <w:t xml:space="preserve">provided </w:t>
      </w:r>
      <w:r w:rsidR="00197BA3" w:rsidRPr="007E381E">
        <w:rPr>
          <w:rFonts w:ascii="Verdana" w:hAnsi="Verdana"/>
          <w:bCs/>
          <w:sz w:val="20"/>
          <w:szCs w:val="20"/>
        </w:rPr>
        <w:t xml:space="preserve">at no cost </w:t>
      </w:r>
      <w:r w:rsidR="005443F5" w:rsidRPr="007E381E">
        <w:rPr>
          <w:rFonts w:ascii="Verdana" w:hAnsi="Verdana"/>
          <w:bCs/>
          <w:sz w:val="20"/>
          <w:szCs w:val="20"/>
        </w:rPr>
        <w:t>by</w:t>
      </w:r>
      <w:r w:rsidR="00197BA3" w:rsidRPr="007E381E">
        <w:rPr>
          <w:rFonts w:ascii="Verdana" w:hAnsi="Verdana" w:cs="Arial"/>
          <w:sz w:val="20"/>
          <w:szCs w:val="20"/>
        </w:rPr>
        <w:t xml:space="preserve"> two US law firms - </w:t>
      </w:r>
      <w:r w:rsidR="00197BA3" w:rsidRPr="007E381E">
        <w:rPr>
          <w:rFonts w:ascii="Verdana" w:hAnsi="Verdana"/>
          <w:bCs/>
          <w:sz w:val="20"/>
          <w:szCs w:val="20"/>
        </w:rPr>
        <w:t>Barrack, Rodos and Bacine (BR&amp;B) and Robbins Geller Rudman and Dowd (RGRD)</w:t>
      </w:r>
      <w:r w:rsidR="00CA3E64" w:rsidRPr="007E381E">
        <w:rPr>
          <w:rFonts w:ascii="Verdana" w:hAnsi="Verdana"/>
          <w:bCs/>
          <w:sz w:val="20"/>
          <w:szCs w:val="20"/>
        </w:rPr>
        <w:t xml:space="preserve"> </w:t>
      </w:r>
      <w:r w:rsidR="00682796" w:rsidRPr="007E381E">
        <w:rPr>
          <w:rFonts w:ascii="Verdana" w:hAnsi="Verdana"/>
          <w:bCs/>
          <w:sz w:val="20"/>
          <w:szCs w:val="20"/>
        </w:rPr>
        <w:t xml:space="preserve">which </w:t>
      </w:r>
      <w:r w:rsidR="00197BA3" w:rsidRPr="007E381E">
        <w:rPr>
          <w:rFonts w:ascii="Verdana" w:hAnsi="Verdana"/>
          <w:bCs/>
          <w:sz w:val="20"/>
          <w:szCs w:val="20"/>
        </w:rPr>
        <w:t>ensure</w:t>
      </w:r>
      <w:r w:rsidR="005443F5" w:rsidRPr="007E381E">
        <w:rPr>
          <w:rFonts w:ascii="Verdana" w:hAnsi="Verdana"/>
          <w:bCs/>
          <w:sz w:val="20"/>
          <w:szCs w:val="20"/>
        </w:rPr>
        <w:t xml:space="preserve"> </w:t>
      </w:r>
      <w:r w:rsidR="00197BA3" w:rsidRPr="007E381E">
        <w:rPr>
          <w:rFonts w:ascii="Verdana" w:hAnsi="Verdana"/>
          <w:bCs/>
          <w:sz w:val="20"/>
          <w:szCs w:val="20"/>
        </w:rPr>
        <w:t xml:space="preserve">prospective actions are known about, the fund's interest (level of loss) is quantified and information is available as a basis for making </w:t>
      </w:r>
      <w:r w:rsidR="00AB62BA">
        <w:rPr>
          <w:rFonts w:ascii="Verdana" w:hAnsi="Verdana"/>
          <w:bCs/>
          <w:sz w:val="20"/>
          <w:szCs w:val="20"/>
        </w:rPr>
        <w:t xml:space="preserve">a </w:t>
      </w:r>
      <w:r w:rsidR="00197BA3" w:rsidRPr="007E381E">
        <w:rPr>
          <w:rFonts w:ascii="Verdana" w:hAnsi="Verdana"/>
          <w:bCs/>
          <w:sz w:val="20"/>
          <w:szCs w:val="20"/>
        </w:rPr>
        <w:t>dec</w:t>
      </w:r>
      <w:r w:rsidR="00AB62BA">
        <w:rPr>
          <w:rFonts w:ascii="Verdana" w:hAnsi="Verdana"/>
          <w:bCs/>
          <w:sz w:val="20"/>
          <w:szCs w:val="20"/>
        </w:rPr>
        <w:t>ision</w:t>
      </w:r>
      <w:r w:rsidR="00197BA3" w:rsidRPr="007E381E">
        <w:rPr>
          <w:rFonts w:ascii="Verdana" w:hAnsi="Verdana"/>
          <w:bCs/>
          <w:sz w:val="20"/>
          <w:szCs w:val="20"/>
        </w:rPr>
        <w:t xml:space="preserve"> on </w:t>
      </w:r>
      <w:r w:rsidR="00682796" w:rsidRPr="007E381E">
        <w:rPr>
          <w:rFonts w:ascii="Verdana" w:hAnsi="Verdana"/>
          <w:bCs/>
          <w:sz w:val="20"/>
          <w:szCs w:val="20"/>
        </w:rPr>
        <w:t>the most</w:t>
      </w:r>
      <w:r w:rsidR="00197BA3" w:rsidRPr="007E381E">
        <w:rPr>
          <w:rFonts w:ascii="Verdana" w:hAnsi="Verdana"/>
          <w:bCs/>
          <w:sz w:val="20"/>
          <w:szCs w:val="20"/>
        </w:rPr>
        <w:t xml:space="preserve"> appropriate course of action given the risks, costs, benefits and deadlines involved in each case. </w:t>
      </w:r>
    </w:p>
    <w:p w:rsidR="007E381E" w:rsidRDefault="007E381E" w:rsidP="007E381E">
      <w:pPr>
        <w:pStyle w:val="Default"/>
        <w:rPr>
          <w:rFonts w:ascii="Verdana" w:eastAsiaTheme="minorHAnsi" w:hAnsi="Verdana"/>
          <w:color w:val="auto"/>
          <w:sz w:val="20"/>
          <w:szCs w:val="20"/>
          <w:lang w:val="en-US"/>
        </w:rPr>
      </w:pPr>
    </w:p>
    <w:p w:rsidR="007E381E" w:rsidRDefault="007E381E" w:rsidP="007E381E">
      <w:pPr>
        <w:pStyle w:val="Default"/>
        <w:rPr>
          <w:rFonts w:ascii="Verdana" w:eastAsiaTheme="minorHAnsi" w:hAnsi="Verdana"/>
          <w:color w:val="183850" w:themeColor="text1"/>
          <w:sz w:val="20"/>
          <w:szCs w:val="20"/>
          <w:lang w:val="en-US"/>
        </w:rPr>
      </w:pPr>
      <w:r w:rsidRPr="00706B92">
        <w:rPr>
          <w:rFonts w:ascii="Verdana" w:eastAsiaTheme="minorHAnsi" w:hAnsi="Verdana"/>
          <w:color w:val="auto"/>
          <w:sz w:val="20"/>
          <w:szCs w:val="20"/>
          <w:lang w:val="en-US"/>
        </w:rPr>
        <w:t>LPP I monitor</w:t>
      </w:r>
      <w:r>
        <w:rPr>
          <w:rFonts w:ascii="Verdana" w:eastAsiaTheme="minorHAnsi" w:hAnsi="Verdana"/>
          <w:color w:val="auto"/>
          <w:sz w:val="20"/>
          <w:szCs w:val="20"/>
          <w:lang w:val="en-US"/>
        </w:rPr>
        <w:t>s developing</w:t>
      </w:r>
      <w:r w:rsidRPr="00706B92">
        <w:rPr>
          <w:rFonts w:ascii="Verdana" w:eastAsiaTheme="minorHAnsi" w:hAnsi="Verdana"/>
          <w:color w:val="auto"/>
          <w:sz w:val="20"/>
          <w:szCs w:val="20"/>
          <w:lang w:val="en-US"/>
        </w:rPr>
        <w:t xml:space="preserve"> litigation </w:t>
      </w:r>
      <w:r>
        <w:rPr>
          <w:rFonts w:ascii="Verdana" w:eastAsiaTheme="minorHAnsi" w:hAnsi="Verdana"/>
          <w:color w:val="auto"/>
          <w:sz w:val="20"/>
          <w:szCs w:val="20"/>
          <w:lang w:val="en-US"/>
        </w:rPr>
        <w:t xml:space="preserve">cases </w:t>
      </w:r>
      <w:r w:rsidRPr="00706B92">
        <w:rPr>
          <w:rFonts w:ascii="Verdana" w:eastAsiaTheme="minorHAnsi" w:hAnsi="Verdana"/>
          <w:color w:val="auto"/>
          <w:sz w:val="20"/>
          <w:szCs w:val="20"/>
          <w:lang w:val="en-US"/>
        </w:rPr>
        <w:t xml:space="preserve">to ensure the Fund is </w:t>
      </w:r>
      <w:r>
        <w:rPr>
          <w:rFonts w:ascii="Verdana" w:eastAsiaTheme="minorHAnsi" w:hAnsi="Verdana"/>
          <w:color w:val="auto"/>
          <w:sz w:val="20"/>
          <w:szCs w:val="20"/>
          <w:lang w:val="en-US"/>
        </w:rPr>
        <w:t>made aware of those</w:t>
      </w:r>
      <w:r w:rsidRPr="00706B92">
        <w:rPr>
          <w:rFonts w:ascii="Verdana" w:eastAsiaTheme="minorHAnsi" w:hAnsi="Verdana"/>
          <w:color w:val="auto"/>
          <w:sz w:val="20"/>
          <w:szCs w:val="20"/>
          <w:lang w:val="en-US"/>
        </w:rPr>
        <w:t xml:space="preserve"> where it has sustained losses and is appraised about opt-in, opt-out or independent legal action where this might offer a premium recovery compared with the default approach of participating </w:t>
      </w:r>
      <w:r w:rsidR="00AB62BA">
        <w:rPr>
          <w:rFonts w:ascii="Verdana" w:eastAsiaTheme="minorHAnsi" w:hAnsi="Verdana"/>
          <w:color w:val="auto"/>
          <w:sz w:val="20"/>
          <w:szCs w:val="20"/>
          <w:lang w:val="en-US"/>
        </w:rPr>
        <w:t xml:space="preserve">collectively </w:t>
      </w:r>
      <w:r w:rsidRPr="00706B92">
        <w:rPr>
          <w:rFonts w:ascii="Verdana" w:eastAsiaTheme="minorHAnsi" w:hAnsi="Verdana"/>
          <w:color w:val="auto"/>
          <w:sz w:val="20"/>
          <w:szCs w:val="20"/>
          <w:lang w:val="en-US"/>
        </w:rPr>
        <w:t xml:space="preserve">in class actions. </w:t>
      </w:r>
    </w:p>
    <w:p w:rsidR="007E381E" w:rsidRPr="00AC697F" w:rsidRDefault="007E381E" w:rsidP="007E381E">
      <w:pPr>
        <w:pStyle w:val="Default"/>
        <w:rPr>
          <w:rFonts w:ascii="Verdana" w:eastAsiaTheme="minorHAnsi" w:hAnsi="Verdana"/>
          <w:color w:val="183850" w:themeColor="text1"/>
          <w:sz w:val="20"/>
          <w:szCs w:val="20"/>
          <w:lang w:val="en-US"/>
        </w:rPr>
      </w:pPr>
    </w:p>
    <w:p w:rsidR="007E381E" w:rsidRPr="007E381E" w:rsidRDefault="00BC02E5" w:rsidP="00AB62BA">
      <w:pPr>
        <w:pStyle w:val="Default"/>
        <w:rPr>
          <w:rFonts w:ascii="Verdana" w:eastAsiaTheme="minorHAnsi" w:hAnsi="Verdana" w:cs="Cambria"/>
          <w:sz w:val="20"/>
          <w:szCs w:val="20"/>
        </w:rPr>
      </w:pPr>
      <w:r>
        <w:rPr>
          <w:rFonts w:ascii="Verdana" w:hAnsi="Verdana"/>
          <w:color w:val="auto"/>
          <w:sz w:val="20"/>
          <w:szCs w:val="20"/>
        </w:rPr>
        <w:t xml:space="preserve">A </w:t>
      </w:r>
      <w:r w:rsidR="00197BA3" w:rsidRPr="00AB62BA">
        <w:rPr>
          <w:rFonts w:ascii="Verdana" w:hAnsi="Verdana"/>
          <w:color w:val="auto"/>
          <w:sz w:val="20"/>
          <w:szCs w:val="20"/>
        </w:rPr>
        <w:t>summary from BR&amp;B of litigation monitoring during Q</w:t>
      </w:r>
      <w:r w:rsidR="00707FD9" w:rsidRPr="00AB62BA">
        <w:rPr>
          <w:rFonts w:ascii="Verdana" w:hAnsi="Verdana"/>
          <w:color w:val="auto"/>
          <w:sz w:val="20"/>
          <w:szCs w:val="20"/>
        </w:rPr>
        <w:t>2</w:t>
      </w:r>
      <w:r w:rsidR="00197BA3" w:rsidRPr="00AB62BA">
        <w:rPr>
          <w:rFonts w:ascii="Verdana" w:hAnsi="Verdana"/>
          <w:color w:val="auto"/>
          <w:sz w:val="20"/>
          <w:szCs w:val="20"/>
        </w:rPr>
        <w:t xml:space="preserve"> 2016</w:t>
      </w:r>
      <w:r w:rsidRPr="00BC02E5">
        <w:rPr>
          <w:rFonts w:ascii="Verdana" w:hAnsi="Verdana"/>
          <w:color w:val="auto"/>
          <w:sz w:val="20"/>
          <w:szCs w:val="20"/>
        </w:rPr>
        <w:t xml:space="preserve"> </w:t>
      </w:r>
      <w:r>
        <w:rPr>
          <w:rFonts w:ascii="Verdana" w:hAnsi="Verdana"/>
          <w:color w:val="auto"/>
          <w:sz w:val="20"/>
          <w:szCs w:val="20"/>
        </w:rPr>
        <w:t>is provided at</w:t>
      </w:r>
      <w:r w:rsidRPr="00AB62BA">
        <w:rPr>
          <w:rFonts w:ascii="Verdana" w:hAnsi="Verdana"/>
          <w:color w:val="auto"/>
          <w:sz w:val="20"/>
          <w:szCs w:val="20"/>
        </w:rPr>
        <w:t xml:space="preserve"> Appendix </w:t>
      </w:r>
      <w:r>
        <w:rPr>
          <w:rFonts w:ascii="Verdana" w:hAnsi="Verdana"/>
          <w:color w:val="auto"/>
          <w:sz w:val="20"/>
          <w:szCs w:val="20"/>
        </w:rPr>
        <w:t>2</w:t>
      </w:r>
      <w:r w:rsidR="00197BA3" w:rsidRPr="00AB62BA">
        <w:rPr>
          <w:rFonts w:ascii="Verdana" w:hAnsi="Verdana"/>
          <w:color w:val="auto"/>
          <w:sz w:val="20"/>
          <w:szCs w:val="20"/>
        </w:rPr>
        <w:t xml:space="preserve">.  </w:t>
      </w:r>
      <w:r w:rsidR="007E381E" w:rsidRPr="00AB62BA">
        <w:rPr>
          <w:rFonts w:ascii="Verdana" w:hAnsi="Verdana"/>
          <w:color w:val="auto"/>
          <w:sz w:val="20"/>
          <w:szCs w:val="20"/>
        </w:rPr>
        <w:t xml:space="preserve">The report confirms a quiet quarter in which the Fund had losses in only 2 of 54 </w:t>
      </w:r>
      <w:r w:rsidR="00506F9B">
        <w:rPr>
          <w:rFonts w:ascii="Verdana" w:hAnsi="Verdana"/>
          <w:color w:val="auto"/>
          <w:sz w:val="20"/>
          <w:szCs w:val="20"/>
        </w:rPr>
        <w:t xml:space="preserve">new </w:t>
      </w:r>
      <w:r w:rsidR="007E381E" w:rsidRPr="00AB62BA">
        <w:rPr>
          <w:rFonts w:ascii="Verdana" w:hAnsi="Verdana"/>
          <w:color w:val="auto"/>
          <w:sz w:val="20"/>
          <w:szCs w:val="20"/>
        </w:rPr>
        <w:t>cases filed with Federal or State Courts</w:t>
      </w:r>
      <w:r w:rsidR="00506F9B">
        <w:rPr>
          <w:rFonts w:ascii="Verdana" w:hAnsi="Verdana"/>
          <w:color w:val="auto"/>
          <w:sz w:val="20"/>
          <w:szCs w:val="20"/>
        </w:rPr>
        <w:t xml:space="preserve"> in the US</w:t>
      </w:r>
      <w:r w:rsidR="007E381E" w:rsidRPr="00AB62BA">
        <w:rPr>
          <w:rFonts w:ascii="Verdana" w:hAnsi="Verdana"/>
          <w:color w:val="auto"/>
          <w:sz w:val="20"/>
          <w:szCs w:val="20"/>
        </w:rPr>
        <w:t xml:space="preserve">. Neither </w:t>
      </w:r>
      <w:r>
        <w:rPr>
          <w:rFonts w:ascii="Verdana" w:hAnsi="Verdana"/>
          <w:color w:val="auto"/>
          <w:sz w:val="20"/>
          <w:szCs w:val="20"/>
        </w:rPr>
        <w:t xml:space="preserve">case </w:t>
      </w:r>
      <w:r w:rsidR="00AB62BA">
        <w:rPr>
          <w:rFonts w:ascii="Verdana" w:hAnsi="Verdana" w:cs="Cambria"/>
          <w:sz w:val="20"/>
          <w:szCs w:val="20"/>
        </w:rPr>
        <w:t>warranted</w:t>
      </w:r>
      <w:r w:rsidR="00AB62BA" w:rsidRPr="00AB62BA">
        <w:rPr>
          <w:rFonts w:ascii="Verdana" w:hAnsi="Verdana" w:cs="Cambria"/>
          <w:sz w:val="20"/>
          <w:szCs w:val="20"/>
        </w:rPr>
        <w:t xml:space="preserve"> </w:t>
      </w:r>
      <w:r w:rsidR="007E381E" w:rsidRPr="007E381E">
        <w:rPr>
          <w:rFonts w:ascii="Verdana" w:hAnsi="Verdana" w:cs="Cambria"/>
          <w:sz w:val="20"/>
          <w:szCs w:val="20"/>
        </w:rPr>
        <w:t>an active role</w:t>
      </w:r>
      <w:r w:rsidR="00AB62BA">
        <w:rPr>
          <w:rFonts w:ascii="Verdana" w:hAnsi="Verdana" w:cs="Cambria"/>
          <w:sz w:val="20"/>
          <w:szCs w:val="20"/>
        </w:rPr>
        <w:t xml:space="preserve"> by institutional investors</w:t>
      </w:r>
      <w:r>
        <w:rPr>
          <w:rFonts w:ascii="Verdana" w:hAnsi="Verdana" w:cs="Cambria"/>
          <w:sz w:val="20"/>
          <w:szCs w:val="20"/>
        </w:rPr>
        <w:t xml:space="preserve"> meaning </w:t>
      </w:r>
      <w:r w:rsidR="00506F9B">
        <w:rPr>
          <w:rFonts w:ascii="Verdana" w:hAnsi="Verdana" w:cs="Cambria"/>
          <w:sz w:val="20"/>
          <w:szCs w:val="20"/>
        </w:rPr>
        <w:t>t</w:t>
      </w:r>
      <w:r w:rsidR="00AB62BA">
        <w:rPr>
          <w:rFonts w:ascii="Verdana" w:hAnsi="Verdana" w:cs="Cambria"/>
          <w:sz w:val="20"/>
          <w:szCs w:val="20"/>
        </w:rPr>
        <w:t xml:space="preserve">he Fund's interests will be </w:t>
      </w:r>
      <w:r>
        <w:rPr>
          <w:rFonts w:ascii="Verdana" w:hAnsi="Verdana" w:cs="Cambria"/>
          <w:sz w:val="20"/>
          <w:szCs w:val="20"/>
        </w:rPr>
        <w:t xml:space="preserve">best </w:t>
      </w:r>
      <w:r w:rsidR="00AB62BA">
        <w:rPr>
          <w:rFonts w:ascii="Verdana" w:hAnsi="Verdana" w:cs="Cambria"/>
          <w:sz w:val="20"/>
          <w:szCs w:val="20"/>
        </w:rPr>
        <w:t xml:space="preserve">represented by monitoring the progress of each case and filing within the claims filing deadline. </w:t>
      </w:r>
      <w:r w:rsidR="00506F9B">
        <w:rPr>
          <w:rFonts w:ascii="Verdana" w:hAnsi="Verdana" w:cs="Cambria"/>
          <w:sz w:val="20"/>
          <w:szCs w:val="20"/>
        </w:rPr>
        <w:t>There were no new non-US cases in which the Fund had interests in the period and no distributions were received in respect of settled cases.</w:t>
      </w:r>
    </w:p>
    <w:p w:rsidR="007E381E" w:rsidRPr="007E381E" w:rsidRDefault="007E381E" w:rsidP="007E381E">
      <w:pPr>
        <w:pStyle w:val="Default"/>
        <w:rPr>
          <w:rFonts w:ascii="Verdana" w:eastAsiaTheme="minorHAnsi" w:hAnsi="Verdana" w:cs="Cambria"/>
          <w:b/>
          <w:sz w:val="20"/>
          <w:szCs w:val="20"/>
        </w:rPr>
      </w:pPr>
    </w:p>
    <w:p w:rsidR="007E381E" w:rsidRPr="00E810CD" w:rsidRDefault="007E381E" w:rsidP="007E381E">
      <w:pPr>
        <w:pStyle w:val="Default"/>
        <w:rPr>
          <w:rFonts w:ascii="Verdana" w:hAnsi="Verdana" w:cs="Arial"/>
          <w:b/>
          <w:bCs/>
          <w:color w:val="54BBAB" w:themeColor="text2"/>
          <w:sz w:val="20"/>
          <w:szCs w:val="20"/>
        </w:rPr>
      </w:pPr>
      <w:r w:rsidRPr="00E810CD">
        <w:rPr>
          <w:rFonts w:ascii="Verdana" w:hAnsi="Verdana" w:cs="Arial"/>
          <w:b/>
          <w:bCs/>
          <w:color w:val="54BBAB" w:themeColor="text2"/>
          <w:sz w:val="20"/>
          <w:szCs w:val="20"/>
        </w:rPr>
        <w:t xml:space="preserve"> </w:t>
      </w:r>
    </w:p>
    <w:p w:rsidR="00197BA3" w:rsidRPr="00E810CD" w:rsidRDefault="00197BA3" w:rsidP="00572DCB">
      <w:pPr>
        <w:pStyle w:val="Default"/>
        <w:numPr>
          <w:ilvl w:val="0"/>
          <w:numId w:val="46"/>
        </w:numPr>
        <w:ind w:hanging="720"/>
        <w:rPr>
          <w:rFonts w:ascii="Verdana" w:hAnsi="Verdana" w:cs="Arial"/>
          <w:b/>
          <w:bCs/>
          <w:color w:val="54BBAB" w:themeColor="text2"/>
          <w:sz w:val="20"/>
          <w:szCs w:val="20"/>
        </w:rPr>
      </w:pPr>
      <w:r w:rsidRPr="007E381E">
        <w:rPr>
          <w:rFonts w:ascii="Verdana" w:hAnsi="Verdana" w:cs="Arial"/>
          <w:b/>
          <w:bCs/>
          <w:color w:val="54BBAB" w:themeColor="text2"/>
          <w:sz w:val="20"/>
          <w:szCs w:val="20"/>
        </w:rPr>
        <w:t>Active Investing</w:t>
      </w:r>
    </w:p>
    <w:p w:rsidR="00911FF3" w:rsidRPr="00F262A4" w:rsidRDefault="00911FF3" w:rsidP="00911FF3">
      <w:pPr>
        <w:pStyle w:val="Default"/>
        <w:rPr>
          <w:rFonts w:ascii="Verdana" w:hAnsi="Verdana"/>
          <w:iCs/>
          <w:sz w:val="20"/>
          <w:szCs w:val="20"/>
        </w:rPr>
      </w:pPr>
    </w:p>
    <w:p w:rsidR="0011219D" w:rsidRDefault="00506F9B" w:rsidP="00506F9B">
      <w:pPr>
        <w:autoSpaceDE w:val="0"/>
        <w:autoSpaceDN w:val="0"/>
        <w:adjustRightInd w:val="0"/>
        <w:spacing w:after="0" w:line="240" w:lineRule="auto"/>
        <w:rPr>
          <w:rFonts w:ascii="Verdana" w:hAnsi="Verdana" w:cs="Verdana"/>
          <w:sz w:val="20"/>
          <w:szCs w:val="20"/>
        </w:rPr>
      </w:pPr>
      <w:r>
        <w:rPr>
          <w:rFonts w:ascii="Verdana" w:hAnsi="Verdana" w:cs="Verdana"/>
          <w:sz w:val="20"/>
          <w:szCs w:val="20"/>
        </w:rPr>
        <w:t>LCPF's commitme</w:t>
      </w:r>
      <w:r w:rsidR="006578F6">
        <w:rPr>
          <w:rFonts w:ascii="Verdana" w:hAnsi="Verdana" w:cs="Verdana"/>
          <w:sz w:val="20"/>
          <w:szCs w:val="20"/>
        </w:rPr>
        <w:t xml:space="preserve">nt to active investing involves </w:t>
      </w:r>
      <w:r w:rsidR="00562F7C">
        <w:rPr>
          <w:rFonts w:ascii="Verdana" w:hAnsi="Verdana" w:cs="Verdana"/>
          <w:sz w:val="20"/>
          <w:szCs w:val="20"/>
        </w:rPr>
        <w:t>recognising</w:t>
      </w:r>
      <w:r w:rsidR="006578F6">
        <w:rPr>
          <w:rFonts w:ascii="Verdana" w:hAnsi="Verdana" w:cs="Verdana"/>
          <w:sz w:val="20"/>
          <w:szCs w:val="20"/>
        </w:rPr>
        <w:t xml:space="preserve"> </w:t>
      </w:r>
      <w:r>
        <w:rPr>
          <w:rFonts w:ascii="Verdana" w:hAnsi="Verdana" w:cs="Verdana"/>
          <w:sz w:val="20"/>
          <w:szCs w:val="20"/>
        </w:rPr>
        <w:t xml:space="preserve">the wider characteristics of </w:t>
      </w:r>
      <w:r w:rsidR="0011219D">
        <w:rPr>
          <w:rFonts w:ascii="Verdana" w:hAnsi="Verdana" w:cs="Verdana"/>
          <w:sz w:val="20"/>
          <w:szCs w:val="20"/>
        </w:rPr>
        <w:t>prospective</w:t>
      </w:r>
      <w:r>
        <w:rPr>
          <w:rFonts w:ascii="Verdana" w:hAnsi="Verdana" w:cs="Verdana"/>
          <w:sz w:val="20"/>
          <w:szCs w:val="20"/>
        </w:rPr>
        <w:t xml:space="preserve"> investment opportunities </w:t>
      </w:r>
      <w:r w:rsidR="006578F6">
        <w:rPr>
          <w:rFonts w:ascii="Verdana" w:hAnsi="Verdana" w:cs="Verdana"/>
          <w:sz w:val="20"/>
          <w:szCs w:val="20"/>
        </w:rPr>
        <w:t>and</w:t>
      </w:r>
      <w:r>
        <w:rPr>
          <w:rFonts w:ascii="Verdana" w:hAnsi="Verdana" w:cs="Verdana"/>
          <w:sz w:val="20"/>
          <w:szCs w:val="20"/>
        </w:rPr>
        <w:t xml:space="preserve"> </w:t>
      </w:r>
      <w:r w:rsidR="006578F6">
        <w:rPr>
          <w:rFonts w:ascii="Verdana" w:hAnsi="Verdana" w:cs="Verdana"/>
          <w:sz w:val="20"/>
          <w:szCs w:val="20"/>
        </w:rPr>
        <w:t>ensuring</w:t>
      </w:r>
      <w:r>
        <w:rPr>
          <w:rFonts w:ascii="Verdana" w:hAnsi="Verdana" w:cs="Verdana"/>
          <w:sz w:val="20"/>
          <w:szCs w:val="20"/>
        </w:rPr>
        <w:t xml:space="preserve"> </w:t>
      </w:r>
      <w:r w:rsidR="006578F6">
        <w:rPr>
          <w:rFonts w:ascii="Verdana" w:hAnsi="Verdana" w:cs="Verdana"/>
          <w:sz w:val="20"/>
          <w:szCs w:val="20"/>
        </w:rPr>
        <w:t xml:space="preserve">both </w:t>
      </w:r>
      <w:r>
        <w:rPr>
          <w:rFonts w:ascii="Verdana" w:hAnsi="Verdana" w:cs="Verdana"/>
          <w:sz w:val="20"/>
          <w:szCs w:val="20"/>
        </w:rPr>
        <w:t xml:space="preserve">positive social characteristics and negative impacts </w:t>
      </w:r>
      <w:r w:rsidR="006578F6">
        <w:rPr>
          <w:rFonts w:ascii="Verdana" w:hAnsi="Verdana" w:cs="Verdana"/>
          <w:sz w:val="20"/>
          <w:szCs w:val="20"/>
        </w:rPr>
        <w:t>are</w:t>
      </w:r>
      <w:r>
        <w:rPr>
          <w:rFonts w:ascii="Verdana" w:hAnsi="Verdana" w:cs="Verdana"/>
          <w:sz w:val="20"/>
          <w:szCs w:val="20"/>
        </w:rPr>
        <w:t xml:space="preserve"> </w:t>
      </w:r>
      <w:r w:rsidR="006578F6">
        <w:rPr>
          <w:rFonts w:ascii="Verdana" w:hAnsi="Verdana" w:cs="Verdana"/>
          <w:sz w:val="20"/>
          <w:szCs w:val="20"/>
        </w:rPr>
        <w:t>assessed</w:t>
      </w:r>
      <w:r>
        <w:rPr>
          <w:rFonts w:ascii="Verdana" w:hAnsi="Verdana" w:cs="Verdana"/>
          <w:sz w:val="20"/>
          <w:szCs w:val="20"/>
        </w:rPr>
        <w:t xml:space="preserve"> and taken into acco</w:t>
      </w:r>
      <w:r w:rsidR="006578F6">
        <w:rPr>
          <w:rFonts w:ascii="Verdana" w:hAnsi="Verdana" w:cs="Verdana"/>
          <w:sz w:val="20"/>
          <w:szCs w:val="20"/>
        </w:rPr>
        <w:t>unt as part of decision-making. The</w:t>
      </w:r>
      <w:r>
        <w:rPr>
          <w:rFonts w:ascii="Verdana" w:hAnsi="Verdana" w:cs="Verdana"/>
          <w:sz w:val="20"/>
          <w:szCs w:val="20"/>
        </w:rPr>
        <w:t xml:space="preserve"> commitment is fulfilled in practice </w:t>
      </w:r>
      <w:r w:rsidR="006578F6">
        <w:rPr>
          <w:rFonts w:ascii="Verdana" w:hAnsi="Verdana" w:cs="Verdana"/>
          <w:sz w:val="20"/>
          <w:szCs w:val="20"/>
        </w:rPr>
        <w:t>by LPP I</w:t>
      </w:r>
      <w:r w:rsidR="0011219D">
        <w:rPr>
          <w:rFonts w:ascii="Verdana" w:hAnsi="Verdana" w:cs="Verdana"/>
          <w:sz w:val="20"/>
          <w:szCs w:val="20"/>
        </w:rPr>
        <w:t>,</w:t>
      </w:r>
      <w:r w:rsidR="006578F6">
        <w:rPr>
          <w:rFonts w:ascii="Verdana" w:hAnsi="Verdana" w:cs="Verdana"/>
          <w:sz w:val="20"/>
          <w:szCs w:val="20"/>
        </w:rPr>
        <w:t xml:space="preserve"> through</w:t>
      </w:r>
      <w:r>
        <w:rPr>
          <w:rFonts w:ascii="Verdana" w:hAnsi="Verdana" w:cs="Verdana"/>
          <w:sz w:val="20"/>
          <w:szCs w:val="20"/>
        </w:rPr>
        <w:t xml:space="preserve"> the consideration of relevant Environmental, Social and Governance (ESG) factors </w:t>
      </w:r>
      <w:r w:rsidR="006578F6">
        <w:rPr>
          <w:rFonts w:ascii="Verdana" w:hAnsi="Verdana" w:cs="Verdana"/>
          <w:sz w:val="20"/>
          <w:szCs w:val="20"/>
        </w:rPr>
        <w:t xml:space="preserve">as part of </w:t>
      </w:r>
      <w:r>
        <w:rPr>
          <w:rFonts w:ascii="Verdana" w:hAnsi="Verdana" w:cs="Verdana"/>
          <w:sz w:val="20"/>
          <w:szCs w:val="20"/>
        </w:rPr>
        <w:t>investment due diligence</w:t>
      </w:r>
      <w:r w:rsidR="006578F6">
        <w:rPr>
          <w:rFonts w:ascii="Verdana" w:hAnsi="Verdana" w:cs="Verdana"/>
          <w:sz w:val="20"/>
          <w:szCs w:val="20"/>
        </w:rPr>
        <w:t xml:space="preserve"> and </w:t>
      </w:r>
      <w:r w:rsidR="0011219D">
        <w:rPr>
          <w:rFonts w:ascii="Verdana" w:hAnsi="Verdana" w:cs="Verdana"/>
          <w:sz w:val="20"/>
          <w:szCs w:val="20"/>
        </w:rPr>
        <w:t xml:space="preserve">through continually seeking </w:t>
      </w:r>
      <w:r w:rsidR="00C333F6">
        <w:rPr>
          <w:rFonts w:ascii="Verdana" w:hAnsi="Verdana" w:cs="Verdana"/>
          <w:sz w:val="20"/>
          <w:szCs w:val="20"/>
        </w:rPr>
        <w:t>insight</w:t>
      </w:r>
      <w:r w:rsidR="0011219D">
        <w:rPr>
          <w:rFonts w:ascii="Verdana" w:hAnsi="Verdana" w:cs="Verdana"/>
          <w:sz w:val="20"/>
          <w:szCs w:val="20"/>
        </w:rPr>
        <w:t xml:space="preserve"> </w:t>
      </w:r>
      <w:r w:rsidR="00562F7C">
        <w:rPr>
          <w:rFonts w:ascii="Verdana" w:hAnsi="Verdana" w:cs="Verdana"/>
          <w:sz w:val="20"/>
          <w:szCs w:val="20"/>
        </w:rPr>
        <w:t>to enrich and evolve</w:t>
      </w:r>
      <w:r w:rsidR="0011219D">
        <w:rPr>
          <w:rFonts w:ascii="Verdana" w:hAnsi="Verdana" w:cs="Verdana"/>
          <w:sz w:val="20"/>
          <w:szCs w:val="20"/>
        </w:rPr>
        <w:t xml:space="preserve"> current </w:t>
      </w:r>
      <w:r w:rsidR="00C333F6">
        <w:rPr>
          <w:rFonts w:ascii="Verdana" w:hAnsi="Verdana" w:cs="Verdana"/>
          <w:sz w:val="20"/>
          <w:szCs w:val="20"/>
        </w:rPr>
        <w:t xml:space="preserve">knowledge on </w:t>
      </w:r>
      <w:r w:rsidR="0011219D">
        <w:rPr>
          <w:rFonts w:ascii="Verdana" w:hAnsi="Verdana" w:cs="Verdana"/>
          <w:sz w:val="20"/>
          <w:szCs w:val="20"/>
        </w:rPr>
        <w:t>the risks and opportunities emerging from different sectors</w:t>
      </w:r>
      <w:r w:rsidR="00A04AA5">
        <w:rPr>
          <w:rFonts w:ascii="Verdana" w:hAnsi="Verdana" w:cs="Verdana"/>
          <w:sz w:val="20"/>
          <w:szCs w:val="20"/>
        </w:rPr>
        <w:t xml:space="preserve"> and scenarios</w:t>
      </w:r>
      <w:r w:rsidR="0011219D">
        <w:rPr>
          <w:rFonts w:ascii="Verdana" w:hAnsi="Verdana" w:cs="Verdana"/>
          <w:sz w:val="20"/>
          <w:szCs w:val="20"/>
        </w:rPr>
        <w:t xml:space="preserve">. </w:t>
      </w:r>
    </w:p>
    <w:p w:rsidR="0011219D" w:rsidRDefault="0011219D" w:rsidP="00506F9B">
      <w:pPr>
        <w:autoSpaceDE w:val="0"/>
        <w:autoSpaceDN w:val="0"/>
        <w:adjustRightInd w:val="0"/>
        <w:spacing w:after="0" w:line="240" w:lineRule="auto"/>
        <w:rPr>
          <w:rFonts w:ascii="Verdana" w:hAnsi="Verdana" w:cs="Verdana"/>
          <w:sz w:val="20"/>
          <w:szCs w:val="20"/>
        </w:rPr>
      </w:pPr>
    </w:p>
    <w:p w:rsidR="008F1CD2" w:rsidRDefault="0011219D" w:rsidP="00506F9B">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As part of its commitment to the integration of ESG into investment decision-making and </w:t>
      </w:r>
      <w:r w:rsidR="00C333F6">
        <w:rPr>
          <w:rFonts w:ascii="Verdana" w:hAnsi="Verdana" w:cs="Verdana"/>
          <w:sz w:val="20"/>
          <w:szCs w:val="20"/>
        </w:rPr>
        <w:t xml:space="preserve">ongoing </w:t>
      </w:r>
      <w:r>
        <w:rPr>
          <w:rFonts w:ascii="Verdana" w:hAnsi="Verdana" w:cs="Verdana"/>
          <w:sz w:val="20"/>
          <w:szCs w:val="20"/>
        </w:rPr>
        <w:t xml:space="preserve">ownership </w:t>
      </w:r>
      <w:r w:rsidR="00C333F6">
        <w:rPr>
          <w:rFonts w:ascii="Verdana" w:hAnsi="Verdana" w:cs="Verdana"/>
          <w:sz w:val="20"/>
          <w:szCs w:val="20"/>
        </w:rPr>
        <w:t xml:space="preserve">activities, LCPF </w:t>
      </w:r>
      <w:r w:rsidR="00A72DD1">
        <w:rPr>
          <w:rFonts w:ascii="Verdana" w:hAnsi="Verdana" w:cs="Verdana"/>
          <w:sz w:val="20"/>
          <w:szCs w:val="20"/>
        </w:rPr>
        <w:t>is</w:t>
      </w:r>
      <w:r w:rsidR="00562F7C">
        <w:rPr>
          <w:rFonts w:ascii="Verdana" w:hAnsi="Verdana" w:cs="Verdana"/>
          <w:sz w:val="20"/>
          <w:szCs w:val="20"/>
        </w:rPr>
        <w:t xml:space="preserve"> </w:t>
      </w:r>
      <w:r w:rsidR="00C333F6">
        <w:rPr>
          <w:rFonts w:ascii="Verdana" w:hAnsi="Verdana" w:cs="Verdana"/>
          <w:sz w:val="20"/>
          <w:szCs w:val="20"/>
        </w:rPr>
        <w:t xml:space="preserve">one of </w:t>
      </w:r>
      <w:r w:rsidR="00562F7C">
        <w:rPr>
          <w:rFonts w:ascii="Verdana" w:hAnsi="Verdana" w:cs="Verdana"/>
          <w:sz w:val="20"/>
          <w:szCs w:val="20"/>
        </w:rPr>
        <w:t xml:space="preserve">several </w:t>
      </w:r>
      <w:r w:rsidR="00C333F6">
        <w:rPr>
          <w:rFonts w:ascii="Verdana" w:hAnsi="Verdana" w:cs="Verdana"/>
          <w:sz w:val="20"/>
          <w:szCs w:val="20"/>
        </w:rPr>
        <w:t xml:space="preserve">founding authorities for a new LGPS national procurement framework </w:t>
      </w:r>
      <w:r w:rsidR="008F1CD2">
        <w:rPr>
          <w:rFonts w:ascii="Verdana" w:hAnsi="Verdana" w:cs="Verdana"/>
          <w:sz w:val="20"/>
          <w:szCs w:val="20"/>
        </w:rPr>
        <w:t>for Stewardship and ESG Services</w:t>
      </w:r>
      <w:r w:rsidR="00562F7C">
        <w:rPr>
          <w:rFonts w:ascii="Verdana" w:hAnsi="Verdana" w:cs="Verdana"/>
          <w:sz w:val="20"/>
          <w:szCs w:val="20"/>
        </w:rPr>
        <w:t>.</w:t>
      </w:r>
      <w:r w:rsidR="002626AA">
        <w:rPr>
          <w:rFonts w:ascii="Verdana" w:hAnsi="Verdana" w:cs="Verdana"/>
          <w:sz w:val="20"/>
          <w:szCs w:val="20"/>
        </w:rPr>
        <w:t xml:space="preserve"> </w:t>
      </w:r>
      <w:r w:rsidR="008F1CD2">
        <w:rPr>
          <w:rFonts w:ascii="Verdana" w:hAnsi="Verdana" w:cs="Verdana"/>
          <w:sz w:val="20"/>
          <w:szCs w:val="20"/>
        </w:rPr>
        <w:t>T</w:t>
      </w:r>
      <w:r w:rsidR="00C333F6">
        <w:rPr>
          <w:rFonts w:ascii="Verdana" w:hAnsi="Verdana" w:cs="Verdana"/>
          <w:sz w:val="20"/>
          <w:szCs w:val="20"/>
        </w:rPr>
        <w:t xml:space="preserve">he new framework </w:t>
      </w:r>
      <w:r w:rsidR="00562F7C">
        <w:rPr>
          <w:rFonts w:ascii="Verdana" w:hAnsi="Verdana" w:cs="Verdana"/>
          <w:sz w:val="20"/>
          <w:szCs w:val="20"/>
        </w:rPr>
        <w:t xml:space="preserve">which will shortly come into operation </w:t>
      </w:r>
      <w:r w:rsidR="00C333F6">
        <w:rPr>
          <w:rFonts w:ascii="Verdana" w:hAnsi="Verdana" w:cs="Verdana"/>
          <w:sz w:val="20"/>
          <w:szCs w:val="20"/>
        </w:rPr>
        <w:t xml:space="preserve">will </w:t>
      </w:r>
      <w:r w:rsidR="00052BBC">
        <w:rPr>
          <w:rFonts w:ascii="Verdana" w:hAnsi="Verdana" w:cs="Verdana"/>
          <w:sz w:val="20"/>
          <w:szCs w:val="20"/>
        </w:rPr>
        <w:t>be</w:t>
      </w:r>
      <w:r w:rsidR="001D050E">
        <w:rPr>
          <w:rFonts w:ascii="Verdana" w:hAnsi="Verdana" w:cs="Verdana"/>
          <w:sz w:val="20"/>
          <w:szCs w:val="20"/>
        </w:rPr>
        <w:t xml:space="preserve"> </w:t>
      </w:r>
      <w:r w:rsidR="00562F7C">
        <w:rPr>
          <w:rFonts w:ascii="Verdana" w:hAnsi="Verdana" w:cs="Verdana"/>
          <w:sz w:val="20"/>
          <w:szCs w:val="20"/>
        </w:rPr>
        <w:t>a</w:t>
      </w:r>
      <w:r w:rsidR="001D050E">
        <w:rPr>
          <w:rFonts w:ascii="Verdana" w:hAnsi="Verdana" w:cs="Verdana"/>
          <w:sz w:val="20"/>
          <w:szCs w:val="20"/>
        </w:rPr>
        <w:t xml:space="preserve"> means for </w:t>
      </w:r>
      <w:r w:rsidR="00C333F6">
        <w:rPr>
          <w:rFonts w:ascii="Verdana" w:hAnsi="Verdana" w:cs="Verdana"/>
          <w:sz w:val="20"/>
          <w:szCs w:val="20"/>
        </w:rPr>
        <w:t xml:space="preserve">LGPS funds to </w:t>
      </w:r>
      <w:r w:rsidR="00052BBC">
        <w:rPr>
          <w:rFonts w:ascii="Verdana" w:hAnsi="Verdana" w:cs="Verdana"/>
          <w:sz w:val="20"/>
          <w:szCs w:val="20"/>
        </w:rPr>
        <w:t xml:space="preserve">access </w:t>
      </w:r>
      <w:r w:rsidR="00C333F6">
        <w:rPr>
          <w:rFonts w:ascii="Verdana" w:hAnsi="Verdana" w:cs="Verdana"/>
          <w:sz w:val="20"/>
          <w:szCs w:val="20"/>
        </w:rPr>
        <w:t xml:space="preserve">specialist services </w:t>
      </w:r>
      <w:r w:rsidR="00052BBC">
        <w:rPr>
          <w:rFonts w:ascii="Verdana" w:hAnsi="Verdana" w:cs="Verdana"/>
          <w:sz w:val="20"/>
          <w:szCs w:val="20"/>
        </w:rPr>
        <w:t>that</w:t>
      </w:r>
      <w:r w:rsidR="008F1CD2">
        <w:rPr>
          <w:rFonts w:ascii="Verdana" w:hAnsi="Verdana" w:cs="Verdana"/>
          <w:sz w:val="20"/>
          <w:szCs w:val="20"/>
        </w:rPr>
        <w:t xml:space="preserve"> </w:t>
      </w:r>
      <w:r w:rsidR="00562F7C">
        <w:rPr>
          <w:rFonts w:ascii="Verdana" w:hAnsi="Verdana" w:cs="Verdana"/>
          <w:sz w:val="20"/>
          <w:szCs w:val="20"/>
        </w:rPr>
        <w:t xml:space="preserve">will </w:t>
      </w:r>
      <w:r w:rsidR="008F1CD2">
        <w:rPr>
          <w:rFonts w:ascii="Verdana" w:hAnsi="Verdana" w:cs="Verdana"/>
          <w:sz w:val="20"/>
          <w:szCs w:val="20"/>
        </w:rPr>
        <w:t xml:space="preserve">support </w:t>
      </w:r>
      <w:r w:rsidR="00052BBC">
        <w:rPr>
          <w:rFonts w:ascii="Verdana" w:hAnsi="Verdana" w:cs="Verdana"/>
          <w:sz w:val="20"/>
          <w:szCs w:val="20"/>
        </w:rPr>
        <w:t xml:space="preserve">the </w:t>
      </w:r>
      <w:r w:rsidR="00C333F6">
        <w:rPr>
          <w:rFonts w:ascii="Verdana" w:hAnsi="Verdana" w:cs="Verdana"/>
          <w:sz w:val="20"/>
          <w:szCs w:val="20"/>
        </w:rPr>
        <w:t>fulfil</w:t>
      </w:r>
      <w:r w:rsidR="00052BBC">
        <w:rPr>
          <w:rFonts w:ascii="Verdana" w:hAnsi="Verdana" w:cs="Verdana"/>
          <w:sz w:val="20"/>
          <w:szCs w:val="20"/>
        </w:rPr>
        <w:t>ment of fiduciary duty</w:t>
      </w:r>
      <w:r w:rsidR="00C333F6">
        <w:rPr>
          <w:rFonts w:ascii="Verdana" w:hAnsi="Verdana" w:cs="Verdana"/>
          <w:sz w:val="20"/>
          <w:szCs w:val="20"/>
        </w:rPr>
        <w:t xml:space="preserve"> and </w:t>
      </w:r>
      <w:r w:rsidR="00052BBC">
        <w:rPr>
          <w:rFonts w:ascii="Verdana" w:hAnsi="Verdana" w:cs="Verdana"/>
          <w:sz w:val="20"/>
          <w:szCs w:val="20"/>
        </w:rPr>
        <w:t xml:space="preserve">help to </w:t>
      </w:r>
      <w:r w:rsidR="008F1CD2">
        <w:rPr>
          <w:rFonts w:ascii="Verdana" w:hAnsi="Verdana" w:cs="Verdana"/>
          <w:sz w:val="20"/>
          <w:szCs w:val="20"/>
        </w:rPr>
        <w:t>extend stewardship and RI capabilities</w:t>
      </w:r>
      <w:r w:rsidR="00052BBC">
        <w:rPr>
          <w:rFonts w:ascii="Verdana" w:hAnsi="Verdana" w:cs="Verdana"/>
          <w:sz w:val="20"/>
          <w:szCs w:val="20"/>
        </w:rPr>
        <w:t xml:space="preserve">. </w:t>
      </w:r>
      <w:r w:rsidR="00562F7C">
        <w:rPr>
          <w:rFonts w:ascii="Verdana" w:hAnsi="Verdana" w:cs="Verdana"/>
          <w:sz w:val="20"/>
          <w:szCs w:val="20"/>
        </w:rPr>
        <w:t>Both</w:t>
      </w:r>
      <w:r w:rsidR="00052BBC">
        <w:rPr>
          <w:rFonts w:ascii="Verdana" w:hAnsi="Verdana" w:cs="Verdana"/>
          <w:sz w:val="20"/>
          <w:szCs w:val="20"/>
        </w:rPr>
        <w:t xml:space="preserve"> </w:t>
      </w:r>
      <w:r w:rsidR="00451417">
        <w:rPr>
          <w:rFonts w:ascii="Verdana" w:hAnsi="Verdana" w:cs="Verdana"/>
          <w:sz w:val="20"/>
          <w:szCs w:val="20"/>
        </w:rPr>
        <w:t xml:space="preserve">individual funds </w:t>
      </w:r>
      <w:r w:rsidR="00562F7C">
        <w:rPr>
          <w:rFonts w:ascii="Verdana" w:hAnsi="Verdana" w:cs="Verdana"/>
          <w:sz w:val="20"/>
          <w:szCs w:val="20"/>
        </w:rPr>
        <w:t>and</w:t>
      </w:r>
      <w:r w:rsidR="00052BBC">
        <w:rPr>
          <w:rFonts w:ascii="Verdana" w:hAnsi="Verdana" w:cs="Verdana"/>
          <w:sz w:val="20"/>
          <w:szCs w:val="20"/>
        </w:rPr>
        <w:t xml:space="preserve"> </w:t>
      </w:r>
      <w:r w:rsidR="00451417">
        <w:rPr>
          <w:rFonts w:ascii="Verdana" w:hAnsi="Verdana" w:cs="Verdana"/>
          <w:sz w:val="20"/>
          <w:szCs w:val="20"/>
        </w:rPr>
        <w:t>collective pools</w:t>
      </w:r>
      <w:r w:rsidR="00AA6E97">
        <w:rPr>
          <w:rFonts w:ascii="Verdana" w:hAnsi="Verdana" w:cs="Verdana"/>
          <w:sz w:val="20"/>
          <w:szCs w:val="20"/>
        </w:rPr>
        <w:t xml:space="preserve"> </w:t>
      </w:r>
      <w:r w:rsidR="00562F7C">
        <w:rPr>
          <w:rFonts w:ascii="Verdana" w:hAnsi="Verdana" w:cs="Verdana"/>
          <w:sz w:val="20"/>
          <w:szCs w:val="20"/>
        </w:rPr>
        <w:t xml:space="preserve">are </w:t>
      </w:r>
      <w:r w:rsidR="00AA6E97">
        <w:rPr>
          <w:rFonts w:ascii="Verdana" w:hAnsi="Verdana" w:cs="Verdana"/>
          <w:sz w:val="20"/>
          <w:szCs w:val="20"/>
        </w:rPr>
        <w:t xml:space="preserve">eligible to use the framework to call-off services from </w:t>
      </w:r>
      <w:r w:rsidR="00A72DD1">
        <w:rPr>
          <w:rFonts w:ascii="Verdana" w:hAnsi="Verdana" w:cs="Verdana"/>
          <w:sz w:val="20"/>
          <w:szCs w:val="20"/>
        </w:rPr>
        <w:t xml:space="preserve">successful </w:t>
      </w:r>
      <w:r w:rsidR="00AA6E97">
        <w:rPr>
          <w:rFonts w:ascii="Verdana" w:hAnsi="Verdana" w:cs="Verdana"/>
          <w:sz w:val="20"/>
          <w:szCs w:val="20"/>
        </w:rPr>
        <w:t>suppliers</w:t>
      </w:r>
      <w:r w:rsidR="008F1CD2">
        <w:rPr>
          <w:rFonts w:ascii="Verdana" w:hAnsi="Verdana" w:cs="Verdana"/>
          <w:sz w:val="20"/>
          <w:szCs w:val="20"/>
        </w:rPr>
        <w:t xml:space="preserve">. </w:t>
      </w:r>
    </w:p>
    <w:p w:rsidR="008B5C84" w:rsidRDefault="008B5C84" w:rsidP="00506F9B">
      <w:pPr>
        <w:autoSpaceDE w:val="0"/>
        <w:autoSpaceDN w:val="0"/>
        <w:adjustRightInd w:val="0"/>
        <w:spacing w:after="0" w:line="240" w:lineRule="auto"/>
        <w:rPr>
          <w:rFonts w:ascii="Verdana" w:hAnsi="Verdana" w:cs="Verdana"/>
          <w:sz w:val="20"/>
          <w:szCs w:val="20"/>
        </w:rPr>
      </w:pPr>
    </w:p>
    <w:p w:rsidR="002626AA" w:rsidRDefault="008B5C84" w:rsidP="00506F9B">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Participation in the formulation of the </w:t>
      </w:r>
      <w:r w:rsidR="00E810CD">
        <w:rPr>
          <w:rFonts w:ascii="Verdana" w:hAnsi="Verdana" w:cs="Verdana"/>
          <w:sz w:val="20"/>
          <w:szCs w:val="20"/>
        </w:rPr>
        <w:t xml:space="preserve">new </w:t>
      </w:r>
      <w:r w:rsidR="00052BBC">
        <w:rPr>
          <w:rFonts w:ascii="Verdana" w:hAnsi="Verdana" w:cs="Verdana"/>
          <w:sz w:val="20"/>
          <w:szCs w:val="20"/>
        </w:rPr>
        <w:t xml:space="preserve">procurement </w:t>
      </w:r>
      <w:r>
        <w:rPr>
          <w:rFonts w:ascii="Verdana" w:hAnsi="Verdana" w:cs="Verdana"/>
          <w:sz w:val="20"/>
          <w:szCs w:val="20"/>
        </w:rPr>
        <w:t xml:space="preserve">framework has </w:t>
      </w:r>
      <w:r w:rsidR="00E810CD">
        <w:rPr>
          <w:rFonts w:ascii="Verdana" w:hAnsi="Verdana" w:cs="Verdana"/>
          <w:sz w:val="20"/>
          <w:szCs w:val="20"/>
        </w:rPr>
        <w:t>been ongoing for a number of months</w:t>
      </w:r>
      <w:r w:rsidR="00562F7C">
        <w:rPr>
          <w:rFonts w:ascii="Verdana" w:hAnsi="Verdana" w:cs="Verdana"/>
          <w:sz w:val="20"/>
          <w:szCs w:val="20"/>
        </w:rPr>
        <w:t>. T</w:t>
      </w:r>
      <w:r>
        <w:rPr>
          <w:rFonts w:ascii="Verdana" w:hAnsi="Verdana" w:cs="Verdana"/>
          <w:sz w:val="20"/>
          <w:szCs w:val="20"/>
        </w:rPr>
        <w:t xml:space="preserve">he LPP I RI Officer </w:t>
      </w:r>
      <w:r w:rsidR="00562F7C">
        <w:rPr>
          <w:rFonts w:ascii="Verdana" w:hAnsi="Verdana" w:cs="Verdana"/>
          <w:sz w:val="20"/>
          <w:szCs w:val="20"/>
        </w:rPr>
        <w:t>has worked</w:t>
      </w:r>
      <w:r>
        <w:rPr>
          <w:rFonts w:ascii="Verdana" w:hAnsi="Verdana" w:cs="Verdana"/>
          <w:sz w:val="20"/>
          <w:szCs w:val="20"/>
        </w:rPr>
        <w:t xml:space="preserve"> collaboratively with representatives from </w:t>
      </w:r>
      <w:r w:rsidR="00562F7C">
        <w:rPr>
          <w:rFonts w:ascii="Verdana" w:hAnsi="Verdana" w:cs="Verdana"/>
          <w:sz w:val="20"/>
          <w:szCs w:val="20"/>
        </w:rPr>
        <w:t xml:space="preserve">the </w:t>
      </w:r>
      <w:r>
        <w:rPr>
          <w:rFonts w:ascii="Verdana" w:hAnsi="Verdana" w:cs="Verdana"/>
          <w:sz w:val="20"/>
          <w:szCs w:val="20"/>
        </w:rPr>
        <w:t>other Founding Authorities and with officers from the National LGPS Framework to decide the service</w:t>
      </w:r>
      <w:r w:rsidR="00A04AA5">
        <w:rPr>
          <w:rFonts w:ascii="Verdana" w:hAnsi="Verdana" w:cs="Verdana"/>
          <w:sz w:val="20"/>
          <w:szCs w:val="20"/>
        </w:rPr>
        <w:t xml:space="preserve"> specification and the</w:t>
      </w:r>
      <w:r>
        <w:rPr>
          <w:rFonts w:ascii="Verdana" w:hAnsi="Verdana" w:cs="Verdana"/>
          <w:sz w:val="20"/>
          <w:szCs w:val="20"/>
        </w:rPr>
        <w:t xml:space="preserve"> lots, </w:t>
      </w:r>
      <w:r w:rsidR="00562F7C">
        <w:rPr>
          <w:rFonts w:ascii="Verdana" w:hAnsi="Verdana" w:cs="Verdana"/>
          <w:sz w:val="20"/>
          <w:szCs w:val="20"/>
        </w:rPr>
        <w:t>to design tender documents</w:t>
      </w:r>
      <w:r>
        <w:rPr>
          <w:rFonts w:ascii="Verdana" w:hAnsi="Verdana" w:cs="Verdana"/>
          <w:sz w:val="20"/>
          <w:szCs w:val="20"/>
        </w:rPr>
        <w:t xml:space="preserve"> </w:t>
      </w:r>
      <w:r w:rsidR="002626AA">
        <w:rPr>
          <w:rFonts w:ascii="Verdana" w:hAnsi="Verdana" w:cs="Verdana"/>
          <w:sz w:val="20"/>
          <w:szCs w:val="20"/>
        </w:rPr>
        <w:t xml:space="preserve">and </w:t>
      </w:r>
      <w:r>
        <w:rPr>
          <w:rFonts w:ascii="Verdana" w:hAnsi="Verdana" w:cs="Verdana"/>
          <w:sz w:val="20"/>
          <w:szCs w:val="20"/>
        </w:rPr>
        <w:t>participate in supplier days explain</w:t>
      </w:r>
      <w:r w:rsidR="002626AA">
        <w:rPr>
          <w:rFonts w:ascii="Verdana" w:hAnsi="Verdana" w:cs="Verdana"/>
          <w:sz w:val="20"/>
          <w:szCs w:val="20"/>
        </w:rPr>
        <w:t>ing the ethos and</w:t>
      </w:r>
      <w:r>
        <w:rPr>
          <w:rFonts w:ascii="Verdana" w:hAnsi="Verdana" w:cs="Verdana"/>
          <w:sz w:val="20"/>
          <w:szCs w:val="20"/>
        </w:rPr>
        <w:t xml:space="preserve"> ambitions of the framework to prospective bidders</w:t>
      </w:r>
      <w:r w:rsidR="002626AA">
        <w:rPr>
          <w:rFonts w:ascii="Verdana" w:hAnsi="Verdana" w:cs="Verdana"/>
          <w:sz w:val="20"/>
          <w:szCs w:val="20"/>
        </w:rPr>
        <w:t xml:space="preserve">. The latest </w:t>
      </w:r>
      <w:r w:rsidR="00E810CD">
        <w:rPr>
          <w:rFonts w:ascii="Verdana" w:hAnsi="Verdana" w:cs="Verdana"/>
          <w:sz w:val="20"/>
          <w:szCs w:val="20"/>
        </w:rPr>
        <w:t xml:space="preserve">and most detailed </w:t>
      </w:r>
      <w:r w:rsidR="002626AA">
        <w:rPr>
          <w:rFonts w:ascii="Verdana" w:hAnsi="Verdana" w:cs="Verdana"/>
          <w:sz w:val="20"/>
          <w:szCs w:val="20"/>
        </w:rPr>
        <w:t>stage</w:t>
      </w:r>
      <w:r w:rsidR="00052BBC">
        <w:rPr>
          <w:rFonts w:ascii="Verdana" w:hAnsi="Verdana" w:cs="Verdana"/>
          <w:sz w:val="20"/>
          <w:szCs w:val="20"/>
        </w:rPr>
        <w:t>s</w:t>
      </w:r>
      <w:r w:rsidR="002626AA">
        <w:rPr>
          <w:rFonts w:ascii="Verdana" w:hAnsi="Verdana" w:cs="Verdana"/>
          <w:sz w:val="20"/>
          <w:szCs w:val="20"/>
        </w:rPr>
        <w:t xml:space="preserve"> ha</w:t>
      </w:r>
      <w:r w:rsidR="00052BBC">
        <w:rPr>
          <w:rFonts w:ascii="Verdana" w:hAnsi="Verdana" w:cs="Verdana"/>
          <w:sz w:val="20"/>
          <w:szCs w:val="20"/>
        </w:rPr>
        <w:t>ve</w:t>
      </w:r>
      <w:r w:rsidR="002626AA">
        <w:rPr>
          <w:rFonts w:ascii="Verdana" w:hAnsi="Verdana" w:cs="Verdana"/>
          <w:sz w:val="20"/>
          <w:szCs w:val="20"/>
        </w:rPr>
        <w:t xml:space="preserve"> encompassed scoring and moderating</w:t>
      </w:r>
      <w:r>
        <w:rPr>
          <w:rFonts w:ascii="Verdana" w:hAnsi="Verdana" w:cs="Verdana"/>
          <w:sz w:val="20"/>
          <w:szCs w:val="20"/>
        </w:rPr>
        <w:t xml:space="preserve"> the </w:t>
      </w:r>
      <w:r w:rsidR="00562F7C">
        <w:rPr>
          <w:rFonts w:ascii="Verdana" w:hAnsi="Verdana" w:cs="Verdana"/>
          <w:sz w:val="20"/>
          <w:szCs w:val="20"/>
        </w:rPr>
        <w:t xml:space="preserve">supplier </w:t>
      </w:r>
      <w:r>
        <w:rPr>
          <w:rFonts w:ascii="Verdana" w:hAnsi="Verdana" w:cs="Verdana"/>
          <w:sz w:val="20"/>
          <w:szCs w:val="20"/>
        </w:rPr>
        <w:t xml:space="preserve">submissions received and </w:t>
      </w:r>
      <w:r w:rsidR="00562F7C">
        <w:rPr>
          <w:rFonts w:ascii="Verdana" w:hAnsi="Verdana" w:cs="Verdana"/>
          <w:sz w:val="20"/>
          <w:szCs w:val="20"/>
        </w:rPr>
        <w:t xml:space="preserve">participating in </w:t>
      </w:r>
      <w:r>
        <w:rPr>
          <w:rFonts w:ascii="Verdana" w:hAnsi="Verdana" w:cs="Verdana"/>
          <w:sz w:val="20"/>
          <w:szCs w:val="20"/>
        </w:rPr>
        <w:t>clarification interviews</w:t>
      </w:r>
      <w:r w:rsidR="002626AA">
        <w:rPr>
          <w:rFonts w:ascii="Verdana" w:hAnsi="Verdana" w:cs="Verdana"/>
          <w:sz w:val="20"/>
          <w:szCs w:val="20"/>
        </w:rPr>
        <w:t xml:space="preserve"> </w:t>
      </w:r>
      <w:r w:rsidR="00562F7C">
        <w:rPr>
          <w:rFonts w:ascii="Verdana" w:hAnsi="Verdana" w:cs="Verdana"/>
          <w:sz w:val="20"/>
          <w:szCs w:val="20"/>
        </w:rPr>
        <w:t xml:space="preserve">with suppliers </w:t>
      </w:r>
      <w:r w:rsidR="00052BBC">
        <w:rPr>
          <w:rFonts w:ascii="Verdana" w:hAnsi="Verdana" w:cs="Verdana"/>
          <w:sz w:val="20"/>
          <w:szCs w:val="20"/>
        </w:rPr>
        <w:t xml:space="preserve">to </w:t>
      </w:r>
      <w:r w:rsidR="00AA6E97">
        <w:rPr>
          <w:rFonts w:ascii="Verdana" w:hAnsi="Verdana" w:cs="Verdana"/>
          <w:sz w:val="20"/>
          <w:szCs w:val="20"/>
        </w:rPr>
        <w:t>inform</w:t>
      </w:r>
      <w:r w:rsidR="00E810CD">
        <w:rPr>
          <w:rFonts w:ascii="Verdana" w:hAnsi="Verdana" w:cs="Verdana"/>
          <w:sz w:val="20"/>
          <w:szCs w:val="20"/>
        </w:rPr>
        <w:t xml:space="preserve"> the</w:t>
      </w:r>
      <w:r w:rsidR="00AA6E97">
        <w:rPr>
          <w:rFonts w:ascii="Verdana" w:hAnsi="Verdana" w:cs="Verdana"/>
          <w:sz w:val="20"/>
          <w:szCs w:val="20"/>
        </w:rPr>
        <w:t xml:space="preserve"> </w:t>
      </w:r>
      <w:r w:rsidR="002626AA">
        <w:rPr>
          <w:rFonts w:ascii="Verdana" w:hAnsi="Verdana" w:cs="Verdana"/>
          <w:sz w:val="20"/>
          <w:szCs w:val="20"/>
        </w:rPr>
        <w:t xml:space="preserve">final </w:t>
      </w:r>
      <w:r w:rsidR="00052BBC">
        <w:rPr>
          <w:rFonts w:ascii="Verdana" w:hAnsi="Verdana" w:cs="Verdana"/>
          <w:sz w:val="20"/>
          <w:szCs w:val="20"/>
        </w:rPr>
        <w:t xml:space="preserve">evaluation and </w:t>
      </w:r>
      <w:r w:rsidR="00E810CD">
        <w:rPr>
          <w:rFonts w:ascii="Verdana" w:hAnsi="Verdana" w:cs="Verdana"/>
          <w:sz w:val="20"/>
          <w:szCs w:val="20"/>
        </w:rPr>
        <w:t>conclu</w:t>
      </w:r>
      <w:r w:rsidR="00052BBC">
        <w:rPr>
          <w:rFonts w:ascii="Verdana" w:hAnsi="Verdana" w:cs="Verdana"/>
          <w:sz w:val="20"/>
          <w:szCs w:val="20"/>
        </w:rPr>
        <w:t xml:space="preserve">de </w:t>
      </w:r>
      <w:r w:rsidR="002626AA">
        <w:rPr>
          <w:rFonts w:ascii="Verdana" w:hAnsi="Verdana" w:cs="Verdana"/>
          <w:sz w:val="20"/>
          <w:szCs w:val="20"/>
        </w:rPr>
        <w:t>the tender process</w:t>
      </w:r>
      <w:r>
        <w:rPr>
          <w:rFonts w:ascii="Verdana" w:hAnsi="Verdana" w:cs="Verdana"/>
          <w:sz w:val="20"/>
          <w:szCs w:val="20"/>
        </w:rPr>
        <w:t xml:space="preserve">. </w:t>
      </w:r>
    </w:p>
    <w:p w:rsidR="002626AA" w:rsidRDefault="002626AA" w:rsidP="00506F9B">
      <w:pPr>
        <w:autoSpaceDE w:val="0"/>
        <w:autoSpaceDN w:val="0"/>
        <w:adjustRightInd w:val="0"/>
        <w:spacing w:after="0" w:line="240" w:lineRule="auto"/>
        <w:rPr>
          <w:rFonts w:ascii="Verdana" w:hAnsi="Verdana" w:cs="Verdana"/>
          <w:sz w:val="20"/>
          <w:szCs w:val="20"/>
        </w:rPr>
      </w:pPr>
    </w:p>
    <w:p w:rsidR="008F1CD2" w:rsidRDefault="008B5C84" w:rsidP="00506F9B">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insight gained from </w:t>
      </w:r>
      <w:r w:rsidR="002626AA">
        <w:rPr>
          <w:rFonts w:ascii="Verdana" w:hAnsi="Verdana" w:cs="Verdana"/>
          <w:sz w:val="20"/>
          <w:szCs w:val="20"/>
        </w:rPr>
        <w:t xml:space="preserve">involvement in </w:t>
      </w:r>
      <w:r>
        <w:rPr>
          <w:rFonts w:ascii="Verdana" w:hAnsi="Verdana" w:cs="Verdana"/>
          <w:sz w:val="20"/>
          <w:szCs w:val="20"/>
        </w:rPr>
        <w:t xml:space="preserve">this </w:t>
      </w:r>
      <w:r w:rsidR="00AA6E97">
        <w:rPr>
          <w:rFonts w:ascii="Verdana" w:hAnsi="Verdana" w:cs="Verdana"/>
          <w:sz w:val="20"/>
          <w:szCs w:val="20"/>
        </w:rPr>
        <w:t xml:space="preserve">detailed </w:t>
      </w:r>
      <w:r>
        <w:rPr>
          <w:rFonts w:ascii="Verdana" w:hAnsi="Verdana" w:cs="Verdana"/>
          <w:sz w:val="20"/>
          <w:szCs w:val="20"/>
        </w:rPr>
        <w:t xml:space="preserve">process </w:t>
      </w:r>
      <w:r w:rsidR="00A04AA5">
        <w:rPr>
          <w:rFonts w:ascii="Verdana" w:hAnsi="Verdana" w:cs="Verdana"/>
          <w:sz w:val="20"/>
          <w:szCs w:val="20"/>
        </w:rPr>
        <w:t>will</w:t>
      </w:r>
      <w:r>
        <w:rPr>
          <w:rFonts w:ascii="Verdana" w:hAnsi="Verdana" w:cs="Verdana"/>
          <w:sz w:val="20"/>
          <w:szCs w:val="20"/>
        </w:rPr>
        <w:t xml:space="preserve"> </w:t>
      </w:r>
      <w:r w:rsidR="00052BBC">
        <w:rPr>
          <w:rFonts w:ascii="Verdana" w:hAnsi="Verdana" w:cs="Verdana"/>
          <w:sz w:val="20"/>
          <w:szCs w:val="20"/>
        </w:rPr>
        <w:t xml:space="preserve">contribute to </w:t>
      </w:r>
      <w:r w:rsidR="002626AA">
        <w:rPr>
          <w:rFonts w:ascii="Verdana" w:hAnsi="Verdana" w:cs="Verdana"/>
          <w:sz w:val="20"/>
          <w:szCs w:val="20"/>
        </w:rPr>
        <w:t xml:space="preserve">the </w:t>
      </w:r>
      <w:r w:rsidR="00F16C8C">
        <w:rPr>
          <w:rFonts w:ascii="Verdana" w:hAnsi="Verdana" w:cs="Verdana"/>
          <w:sz w:val="20"/>
          <w:szCs w:val="20"/>
        </w:rPr>
        <w:t xml:space="preserve">ongoing </w:t>
      </w:r>
      <w:r w:rsidR="002626AA">
        <w:rPr>
          <w:rFonts w:ascii="Verdana" w:hAnsi="Verdana" w:cs="Verdana"/>
          <w:sz w:val="20"/>
          <w:szCs w:val="20"/>
        </w:rPr>
        <w:t>develo</w:t>
      </w:r>
      <w:r w:rsidR="00AA6E97">
        <w:rPr>
          <w:rFonts w:ascii="Verdana" w:hAnsi="Verdana" w:cs="Verdana"/>
          <w:sz w:val="20"/>
          <w:szCs w:val="20"/>
        </w:rPr>
        <w:t>pment of LPP I's approach to RI</w:t>
      </w:r>
      <w:r w:rsidR="00A72DD1">
        <w:rPr>
          <w:rFonts w:ascii="Verdana" w:hAnsi="Verdana" w:cs="Verdana"/>
          <w:sz w:val="20"/>
          <w:szCs w:val="20"/>
        </w:rPr>
        <w:t xml:space="preserve"> and t</w:t>
      </w:r>
      <w:r w:rsidR="002626AA">
        <w:rPr>
          <w:rFonts w:ascii="Verdana" w:hAnsi="Verdana" w:cs="Verdana"/>
          <w:sz w:val="20"/>
          <w:szCs w:val="20"/>
        </w:rPr>
        <w:t>he overview it has provided of services available from the supplier marketplace</w:t>
      </w:r>
      <w:r w:rsidR="00AA6E97">
        <w:rPr>
          <w:rFonts w:ascii="Verdana" w:hAnsi="Verdana" w:cs="Verdana"/>
          <w:sz w:val="20"/>
          <w:szCs w:val="20"/>
        </w:rPr>
        <w:t xml:space="preserve"> </w:t>
      </w:r>
      <w:r w:rsidR="002626AA">
        <w:rPr>
          <w:rFonts w:ascii="Verdana" w:hAnsi="Verdana" w:cs="Verdana"/>
          <w:sz w:val="20"/>
          <w:szCs w:val="20"/>
        </w:rPr>
        <w:t xml:space="preserve">will be followed up as part of the identification of information sources which </w:t>
      </w:r>
      <w:r w:rsidR="00F16C8C">
        <w:rPr>
          <w:rFonts w:ascii="Verdana" w:hAnsi="Verdana" w:cs="Verdana"/>
          <w:sz w:val="20"/>
          <w:szCs w:val="20"/>
        </w:rPr>
        <w:t>may</w:t>
      </w:r>
      <w:r w:rsidR="002626AA">
        <w:rPr>
          <w:rFonts w:ascii="Verdana" w:hAnsi="Verdana" w:cs="Verdana"/>
          <w:sz w:val="20"/>
          <w:szCs w:val="20"/>
        </w:rPr>
        <w:t xml:space="preserve"> help to facilitate active investing</w:t>
      </w:r>
      <w:r w:rsidR="00BB570A">
        <w:rPr>
          <w:rFonts w:ascii="Verdana" w:hAnsi="Verdana" w:cs="Verdana"/>
          <w:sz w:val="20"/>
          <w:szCs w:val="20"/>
        </w:rPr>
        <w:t xml:space="preserve"> </w:t>
      </w:r>
      <w:r w:rsidR="00052BBC">
        <w:rPr>
          <w:rFonts w:ascii="Verdana" w:hAnsi="Verdana" w:cs="Verdana"/>
          <w:sz w:val="20"/>
          <w:szCs w:val="20"/>
        </w:rPr>
        <w:t xml:space="preserve">and oversight </w:t>
      </w:r>
      <w:r w:rsidR="00BB570A">
        <w:rPr>
          <w:rFonts w:ascii="Verdana" w:hAnsi="Verdana" w:cs="Verdana"/>
          <w:sz w:val="20"/>
          <w:szCs w:val="20"/>
        </w:rPr>
        <w:t>going forward</w:t>
      </w:r>
      <w:r w:rsidR="002626AA">
        <w:rPr>
          <w:rFonts w:ascii="Verdana" w:hAnsi="Verdana" w:cs="Verdana"/>
          <w:sz w:val="20"/>
          <w:szCs w:val="20"/>
        </w:rPr>
        <w:t>.</w:t>
      </w:r>
    </w:p>
    <w:p w:rsidR="008B5C84" w:rsidRDefault="008B5C84" w:rsidP="00506F9B">
      <w:pPr>
        <w:autoSpaceDE w:val="0"/>
        <w:autoSpaceDN w:val="0"/>
        <w:adjustRightInd w:val="0"/>
        <w:spacing w:after="0" w:line="240" w:lineRule="auto"/>
        <w:rPr>
          <w:rFonts w:ascii="Verdana" w:hAnsi="Verdana" w:cs="Verdana"/>
          <w:sz w:val="20"/>
          <w:szCs w:val="20"/>
        </w:rPr>
      </w:pPr>
    </w:p>
    <w:p w:rsidR="00563E89" w:rsidRPr="00A44555" w:rsidRDefault="00BB570A" w:rsidP="00BB570A">
      <w:pPr>
        <w:autoSpaceDE w:val="0"/>
        <w:autoSpaceDN w:val="0"/>
        <w:adjustRightInd w:val="0"/>
        <w:spacing w:after="0" w:line="240" w:lineRule="auto"/>
        <w:rPr>
          <w:rFonts w:ascii="Verdana" w:hAnsi="Verdana" w:cs="Verdana"/>
          <w:sz w:val="20"/>
          <w:szCs w:val="20"/>
        </w:rPr>
      </w:pPr>
      <w:r w:rsidRPr="00A44555">
        <w:rPr>
          <w:rFonts w:ascii="Verdana" w:hAnsi="Verdana" w:cs="Verdana"/>
          <w:sz w:val="20"/>
          <w:szCs w:val="20"/>
        </w:rPr>
        <w:t>Further efforts within the quarter to fulfil</w:t>
      </w:r>
      <w:r w:rsidR="00A04AA5" w:rsidRPr="00A44555">
        <w:rPr>
          <w:rFonts w:ascii="Verdana" w:hAnsi="Verdana" w:cs="Verdana"/>
          <w:sz w:val="20"/>
          <w:szCs w:val="20"/>
        </w:rPr>
        <w:t xml:space="preserve"> </w:t>
      </w:r>
      <w:r w:rsidRPr="00A44555">
        <w:rPr>
          <w:rFonts w:ascii="Verdana" w:hAnsi="Verdana" w:cs="Verdana"/>
          <w:sz w:val="20"/>
          <w:szCs w:val="20"/>
        </w:rPr>
        <w:t xml:space="preserve">the RI commitments of LCPF </w:t>
      </w:r>
      <w:r w:rsidR="00451417" w:rsidRPr="00A44555">
        <w:rPr>
          <w:rFonts w:ascii="Verdana" w:hAnsi="Verdana" w:cs="Verdana"/>
          <w:sz w:val="20"/>
          <w:szCs w:val="20"/>
        </w:rPr>
        <w:t xml:space="preserve">under the Stewardship Code and as a signatory to the UN –backed PRI </w:t>
      </w:r>
      <w:r w:rsidR="00A04AA5" w:rsidRPr="00A44555">
        <w:rPr>
          <w:rFonts w:ascii="Verdana" w:hAnsi="Verdana" w:cs="Verdana"/>
          <w:sz w:val="20"/>
          <w:szCs w:val="20"/>
        </w:rPr>
        <w:t xml:space="preserve">have </w:t>
      </w:r>
      <w:r w:rsidRPr="00A44555">
        <w:rPr>
          <w:rFonts w:ascii="Verdana" w:hAnsi="Verdana" w:cs="Verdana"/>
          <w:sz w:val="20"/>
          <w:szCs w:val="20"/>
        </w:rPr>
        <w:t>included</w:t>
      </w:r>
      <w:r w:rsidR="00F27D62" w:rsidRPr="00A44555">
        <w:rPr>
          <w:rFonts w:ascii="Verdana" w:hAnsi="Verdana" w:cs="Verdana"/>
          <w:sz w:val="20"/>
          <w:szCs w:val="20"/>
        </w:rPr>
        <w:t>:</w:t>
      </w:r>
      <w:r w:rsidRPr="00A44555">
        <w:rPr>
          <w:rFonts w:ascii="Verdana" w:hAnsi="Verdana" w:cs="Verdana"/>
          <w:sz w:val="20"/>
          <w:szCs w:val="20"/>
        </w:rPr>
        <w:t xml:space="preserve"> </w:t>
      </w:r>
    </w:p>
    <w:p w:rsidR="00A44555" w:rsidRPr="00A44555" w:rsidRDefault="00A44555" w:rsidP="00BB570A">
      <w:pPr>
        <w:autoSpaceDE w:val="0"/>
        <w:autoSpaceDN w:val="0"/>
        <w:adjustRightInd w:val="0"/>
        <w:spacing w:after="0" w:line="240" w:lineRule="auto"/>
        <w:rPr>
          <w:rFonts w:ascii="Verdana" w:hAnsi="Verdana" w:cs="Verdana"/>
          <w:sz w:val="20"/>
          <w:szCs w:val="20"/>
        </w:rPr>
      </w:pPr>
    </w:p>
    <w:p w:rsidR="00A44555" w:rsidRPr="00A44555" w:rsidRDefault="00A44555" w:rsidP="00A44555">
      <w:pPr>
        <w:pStyle w:val="ListParagraph"/>
        <w:numPr>
          <w:ilvl w:val="0"/>
          <w:numId w:val="45"/>
        </w:numPr>
        <w:spacing w:after="0"/>
        <w:rPr>
          <w:rFonts w:ascii="Verdana" w:hAnsi="Verdana"/>
          <w:b/>
          <w:sz w:val="20"/>
          <w:szCs w:val="20"/>
        </w:rPr>
      </w:pPr>
      <w:r w:rsidRPr="00A44555">
        <w:rPr>
          <w:rFonts w:ascii="Verdana" w:hAnsi="Verdana"/>
          <w:b/>
          <w:sz w:val="20"/>
          <w:szCs w:val="20"/>
        </w:rPr>
        <w:t>Meeting with the FRC in relation to public assessment</w:t>
      </w:r>
      <w:r w:rsidRPr="00A44555">
        <w:rPr>
          <w:rFonts w:ascii="Verdana" w:hAnsi="Verdana" w:cs="Arial"/>
          <w:b/>
          <w:sz w:val="20"/>
          <w:szCs w:val="20"/>
        </w:rPr>
        <w:t xml:space="preserve"> of signatory reporting against the UK Stewardship Code</w:t>
      </w:r>
    </w:p>
    <w:p w:rsidR="00A44555" w:rsidRPr="00A44555" w:rsidRDefault="00A44555" w:rsidP="00A44555">
      <w:pPr>
        <w:spacing w:after="0"/>
        <w:ind w:left="360"/>
        <w:rPr>
          <w:rFonts w:ascii="Verdana" w:hAnsi="Verdana"/>
          <w:b/>
          <w:sz w:val="20"/>
          <w:szCs w:val="20"/>
        </w:rPr>
      </w:pPr>
    </w:p>
    <w:p w:rsidR="00A44555" w:rsidRPr="00F96E6E" w:rsidRDefault="00A44555" w:rsidP="00A44555">
      <w:pPr>
        <w:shd w:val="clear" w:color="auto" w:fill="FFFFFF"/>
        <w:spacing w:after="0"/>
        <w:ind w:left="709"/>
        <w:rPr>
          <w:rFonts w:ascii="Verdana" w:eastAsia="Times New Roman" w:hAnsi="Verdana" w:cs="Arial"/>
          <w:sz w:val="20"/>
          <w:szCs w:val="20"/>
          <w:lang w:eastAsia="en-GB"/>
        </w:rPr>
      </w:pPr>
      <w:r w:rsidRPr="00A44555">
        <w:rPr>
          <w:rFonts w:ascii="Verdana" w:hAnsi="Verdana" w:cs="TT3B97o00"/>
          <w:sz w:val="20"/>
          <w:szCs w:val="20"/>
        </w:rPr>
        <w:t xml:space="preserve">From </w:t>
      </w:r>
      <w:proofErr w:type="gramStart"/>
      <w:r w:rsidRPr="00A44555">
        <w:rPr>
          <w:rFonts w:ascii="Verdana" w:hAnsi="Verdana" w:cs="TT3B97o00"/>
          <w:sz w:val="20"/>
          <w:szCs w:val="20"/>
        </w:rPr>
        <w:t>Autumn</w:t>
      </w:r>
      <w:proofErr w:type="gramEnd"/>
      <w:r w:rsidRPr="00A44555">
        <w:rPr>
          <w:rFonts w:ascii="Verdana" w:hAnsi="Verdana" w:cs="TT3B97o00"/>
          <w:sz w:val="20"/>
          <w:szCs w:val="20"/>
        </w:rPr>
        <w:t xml:space="preserve"> 2016 </w:t>
      </w:r>
      <w:r w:rsidRPr="00A44555">
        <w:rPr>
          <w:rFonts w:ascii="Verdana" w:hAnsi="Verdana" w:cs="Arial"/>
          <w:sz w:val="20"/>
          <w:szCs w:val="20"/>
        </w:rPr>
        <w:t xml:space="preserve">the FRC is to introduce public assessment of the quality of signatory reporting against the UK Stewardship Code. </w:t>
      </w:r>
      <w:r w:rsidRPr="00A44555">
        <w:rPr>
          <w:rFonts w:ascii="Verdana" w:eastAsia="Times New Roman" w:hAnsi="Verdana" w:cs="Arial"/>
          <w:sz w:val="20"/>
          <w:szCs w:val="20"/>
          <w:lang w:eastAsia="en-GB"/>
        </w:rPr>
        <w:t>Signatory statements will be assessed as being Tier 1 (</w:t>
      </w:r>
      <w:r w:rsidRPr="00F96E6E">
        <w:rPr>
          <w:rFonts w:ascii="Verdana" w:eastAsia="Times New Roman" w:hAnsi="Verdana" w:cs="Arial"/>
          <w:sz w:val="20"/>
          <w:szCs w:val="20"/>
          <w:lang w:eastAsia="en-GB"/>
        </w:rPr>
        <w:t>meeting reporting expectations in relation to stewardship activities</w:t>
      </w:r>
      <w:r w:rsidRPr="00A44555">
        <w:rPr>
          <w:rFonts w:ascii="Verdana" w:eastAsia="Times New Roman" w:hAnsi="Verdana" w:cs="Arial"/>
          <w:sz w:val="20"/>
          <w:szCs w:val="20"/>
          <w:lang w:eastAsia="en-GB"/>
        </w:rPr>
        <w:t>) or Tier 2 (</w:t>
      </w:r>
      <w:r w:rsidRPr="00F96E6E">
        <w:rPr>
          <w:rFonts w:ascii="Verdana" w:eastAsia="Times New Roman" w:hAnsi="Verdana" w:cs="Arial"/>
          <w:sz w:val="20"/>
          <w:szCs w:val="20"/>
          <w:lang w:eastAsia="en-GB"/>
        </w:rPr>
        <w:t>not meeting reporting expectations</w:t>
      </w:r>
      <w:r w:rsidRPr="00A44555">
        <w:rPr>
          <w:rFonts w:ascii="Verdana" w:eastAsia="Times New Roman" w:hAnsi="Verdana" w:cs="Arial"/>
          <w:sz w:val="20"/>
          <w:szCs w:val="20"/>
          <w:lang w:eastAsia="en-GB"/>
        </w:rPr>
        <w:t>)</w:t>
      </w:r>
      <w:r w:rsidRPr="00F96E6E">
        <w:rPr>
          <w:rFonts w:ascii="Verdana" w:eastAsia="Times New Roman" w:hAnsi="Verdana" w:cs="Arial"/>
          <w:sz w:val="20"/>
          <w:szCs w:val="20"/>
          <w:lang w:eastAsia="en-GB"/>
        </w:rPr>
        <w:t>.</w:t>
      </w:r>
    </w:p>
    <w:p w:rsidR="00A44555" w:rsidRPr="00A44555" w:rsidRDefault="00A44555" w:rsidP="00A44555">
      <w:pPr>
        <w:pStyle w:val="ListParagraph"/>
        <w:autoSpaceDE w:val="0"/>
        <w:autoSpaceDN w:val="0"/>
        <w:adjustRightInd w:val="0"/>
        <w:spacing w:after="0"/>
        <w:ind w:left="709"/>
        <w:rPr>
          <w:rFonts w:ascii="Verdana" w:hAnsi="Verdana" w:cs="Arial"/>
          <w:sz w:val="20"/>
          <w:szCs w:val="20"/>
        </w:rPr>
      </w:pPr>
      <w:r w:rsidRPr="00A44555">
        <w:rPr>
          <w:rFonts w:ascii="Verdana" w:hAnsi="Verdana" w:cs="Arial"/>
          <w:sz w:val="20"/>
          <w:szCs w:val="20"/>
        </w:rPr>
        <w:t xml:space="preserve">The initiative provides a whole market incentive to improve current standards of stewardship disclosure and applies to both asset owner and asset manager signatories to the Code. </w:t>
      </w:r>
    </w:p>
    <w:p w:rsidR="00A44555" w:rsidRPr="00A44555" w:rsidRDefault="00A44555" w:rsidP="00A44555">
      <w:pPr>
        <w:pStyle w:val="ListParagraph"/>
        <w:autoSpaceDE w:val="0"/>
        <w:autoSpaceDN w:val="0"/>
        <w:adjustRightInd w:val="0"/>
        <w:spacing w:after="0"/>
        <w:ind w:left="709"/>
        <w:rPr>
          <w:rFonts w:ascii="Verdana" w:hAnsi="Verdana" w:cs="Arial"/>
          <w:sz w:val="20"/>
          <w:szCs w:val="20"/>
        </w:rPr>
      </w:pPr>
    </w:p>
    <w:p w:rsidR="00A44555" w:rsidRPr="00A44555" w:rsidRDefault="00A44555" w:rsidP="00A44555">
      <w:pPr>
        <w:pStyle w:val="ListParagraph"/>
        <w:autoSpaceDE w:val="0"/>
        <w:autoSpaceDN w:val="0"/>
        <w:adjustRightInd w:val="0"/>
        <w:spacing w:after="0"/>
        <w:ind w:left="709"/>
        <w:rPr>
          <w:rFonts w:ascii="Verdana" w:hAnsi="Verdana" w:cs="Arial"/>
          <w:sz w:val="20"/>
          <w:szCs w:val="20"/>
        </w:rPr>
      </w:pPr>
      <w:r w:rsidRPr="00A44555">
        <w:rPr>
          <w:rFonts w:ascii="Verdana" w:hAnsi="Verdana" w:cs="Arial"/>
          <w:sz w:val="20"/>
          <w:szCs w:val="20"/>
        </w:rPr>
        <w:t>Following an initial indication that LCPF's current statement is likely to be assessed as Tier 2 the LPP I RI Officer has met with the FRC to identify areas for development. Discussion indicated that the focus should be on expanding the level of disclosure on activities being undertaken by the Fund in order to provide more practical insight.  A revised statement reflecting the insight gained from the FRC will be drafted for approval by the Fund.  The deadline for submitting revised statements to the FRC is Friday 23</w:t>
      </w:r>
      <w:r w:rsidRPr="00A44555">
        <w:rPr>
          <w:rFonts w:ascii="Verdana" w:hAnsi="Verdana" w:cs="Arial"/>
          <w:sz w:val="20"/>
          <w:szCs w:val="20"/>
          <w:vertAlign w:val="superscript"/>
        </w:rPr>
        <w:t>rd</w:t>
      </w:r>
      <w:r w:rsidRPr="00A44555">
        <w:rPr>
          <w:rFonts w:ascii="Verdana" w:hAnsi="Verdana" w:cs="Arial"/>
          <w:sz w:val="20"/>
          <w:szCs w:val="20"/>
        </w:rPr>
        <w:t xml:space="preserve"> September 2016.  </w:t>
      </w:r>
    </w:p>
    <w:p w:rsidR="00BB570A" w:rsidRPr="00A44555" w:rsidRDefault="00BB570A" w:rsidP="00BB570A">
      <w:pPr>
        <w:autoSpaceDE w:val="0"/>
        <w:autoSpaceDN w:val="0"/>
        <w:adjustRightInd w:val="0"/>
        <w:spacing w:after="0" w:line="240" w:lineRule="auto"/>
        <w:rPr>
          <w:rFonts w:ascii="Verdana" w:hAnsi="Verdana"/>
          <w:bCs/>
          <w:sz w:val="20"/>
          <w:szCs w:val="20"/>
        </w:rPr>
      </w:pPr>
    </w:p>
    <w:p w:rsidR="00563E89" w:rsidRPr="00A44555" w:rsidRDefault="00F16C8C" w:rsidP="00451417">
      <w:pPr>
        <w:pStyle w:val="ListParagraph"/>
        <w:numPr>
          <w:ilvl w:val="0"/>
          <w:numId w:val="45"/>
        </w:numPr>
        <w:autoSpaceDE w:val="0"/>
        <w:autoSpaceDN w:val="0"/>
        <w:adjustRightInd w:val="0"/>
        <w:spacing w:after="0" w:line="240" w:lineRule="auto"/>
        <w:ind w:hanging="720"/>
        <w:rPr>
          <w:rFonts w:ascii="Verdana" w:hAnsi="Verdana"/>
          <w:b/>
          <w:bCs/>
          <w:sz w:val="20"/>
          <w:szCs w:val="20"/>
        </w:rPr>
      </w:pPr>
      <w:r w:rsidRPr="00A44555">
        <w:rPr>
          <w:rFonts w:ascii="Verdana" w:hAnsi="Verdana"/>
          <w:b/>
          <w:bCs/>
          <w:sz w:val="20"/>
          <w:szCs w:val="20"/>
        </w:rPr>
        <w:t>S</w:t>
      </w:r>
      <w:r w:rsidR="00706B92" w:rsidRPr="00A44555">
        <w:rPr>
          <w:rFonts w:ascii="Verdana" w:hAnsi="Verdana"/>
          <w:b/>
          <w:bCs/>
          <w:sz w:val="20"/>
          <w:szCs w:val="20"/>
        </w:rPr>
        <w:t>trengthen</w:t>
      </w:r>
      <w:r w:rsidR="00563E89" w:rsidRPr="00A44555">
        <w:rPr>
          <w:rFonts w:ascii="Verdana" w:hAnsi="Verdana"/>
          <w:b/>
          <w:bCs/>
          <w:sz w:val="20"/>
          <w:szCs w:val="20"/>
        </w:rPr>
        <w:t>ing</w:t>
      </w:r>
      <w:r w:rsidR="00706B92" w:rsidRPr="00A44555">
        <w:rPr>
          <w:rFonts w:ascii="Verdana" w:hAnsi="Verdana"/>
          <w:b/>
          <w:bCs/>
          <w:sz w:val="20"/>
          <w:szCs w:val="20"/>
        </w:rPr>
        <w:t xml:space="preserve"> </w:t>
      </w:r>
      <w:r w:rsidR="00AA6E97" w:rsidRPr="00A44555">
        <w:rPr>
          <w:rFonts w:ascii="Verdana" w:hAnsi="Verdana"/>
          <w:b/>
          <w:bCs/>
          <w:sz w:val="20"/>
          <w:szCs w:val="20"/>
        </w:rPr>
        <w:t xml:space="preserve">existing </w:t>
      </w:r>
      <w:r w:rsidR="00706B92" w:rsidRPr="00A44555">
        <w:rPr>
          <w:rFonts w:ascii="Verdana" w:hAnsi="Verdana"/>
          <w:b/>
          <w:bCs/>
          <w:sz w:val="20"/>
          <w:szCs w:val="20"/>
        </w:rPr>
        <w:t>connection</w:t>
      </w:r>
      <w:r w:rsidR="00451417" w:rsidRPr="00A44555">
        <w:rPr>
          <w:rFonts w:ascii="Verdana" w:hAnsi="Verdana"/>
          <w:b/>
          <w:bCs/>
          <w:sz w:val="20"/>
          <w:szCs w:val="20"/>
        </w:rPr>
        <w:t>s</w:t>
      </w:r>
      <w:r w:rsidR="00706B92" w:rsidRPr="00A44555">
        <w:rPr>
          <w:rFonts w:ascii="Verdana" w:hAnsi="Verdana"/>
          <w:b/>
          <w:bCs/>
          <w:sz w:val="20"/>
          <w:szCs w:val="20"/>
        </w:rPr>
        <w:t xml:space="preserve"> with the </w:t>
      </w:r>
      <w:r w:rsidR="00563E89" w:rsidRPr="00A44555">
        <w:rPr>
          <w:rFonts w:ascii="Verdana" w:hAnsi="Verdana"/>
          <w:b/>
          <w:bCs/>
          <w:sz w:val="20"/>
          <w:szCs w:val="20"/>
        </w:rPr>
        <w:t xml:space="preserve">Pensions and Lifetime Savings Association (PLSA) </w:t>
      </w:r>
      <w:r w:rsidR="00706B92" w:rsidRPr="00A44555">
        <w:rPr>
          <w:rFonts w:ascii="Verdana" w:hAnsi="Verdana"/>
          <w:b/>
          <w:bCs/>
          <w:sz w:val="20"/>
          <w:szCs w:val="20"/>
        </w:rPr>
        <w:t xml:space="preserve">on stewardship matters </w:t>
      </w:r>
    </w:p>
    <w:p w:rsidR="00F27D62" w:rsidRPr="00A44555" w:rsidRDefault="00F27D62" w:rsidP="00451417">
      <w:pPr>
        <w:autoSpaceDE w:val="0"/>
        <w:autoSpaceDN w:val="0"/>
        <w:adjustRightInd w:val="0"/>
        <w:spacing w:after="0" w:line="240" w:lineRule="auto"/>
        <w:ind w:left="709"/>
        <w:rPr>
          <w:rFonts w:ascii="Verdana" w:hAnsi="Verdana"/>
          <w:bCs/>
          <w:sz w:val="20"/>
          <w:szCs w:val="20"/>
        </w:rPr>
      </w:pPr>
    </w:p>
    <w:p w:rsidR="00706B92" w:rsidRPr="00A44555" w:rsidRDefault="00706B92" w:rsidP="00451417">
      <w:pPr>
        <w:autoSpaceDE w:val="0"/>
        <w:autoSpaceDN w:val="0"/>
        <w:adjustRightInd w:val="0"/>
        <w:spacing w:after="0" w:line="240" w:lineRule="auto"/>
        <w:ind w:left="709"/>
        <w:rPr>
          <w:rFonts w:ascii="Verdana" w:hAnsi="Verdana" w:cs="Verdana"/>
          <w:sz w:val="20"/>
          <w:szCs w:val="20"/>
        </w:rPr>
      </w:pPr>
      <w:r w:rsidRPr="00A44555">
        <w:rPr>
          <w:rFonts w:ascii="Verdana" w:hAnsi="Verdana"/>
          <w:bCs/>
          <w:sz w:val="20"/>
          <w:szCs w:val="20"/>
        </w:rPr>
        <w:t xml:space="preserve">LPP I's Responsible Investment Officer has become a member of the PLSA Defined Benefit Scheme Stewardship Advisory Group (SAG). </w:t>
      </w:r>
      <w:r w:rsidRPr="00A44555">
        <w:rPr>
          <w:rFonts w:ascii="Verdana" w:hAnsi="Verdana"/>
          <w:sz w:val="20"/>
          <w:szCs w:val="20"/>
        </w:rPr>
        <w:t>The Group comprises 13 representatives from UK asset managers and DB pension schemes on a 50/50 basis and meets quarterly to provide guidance and feedback</w:t>
      </w:r>
      <w:r w:rsidR="00563E89" w:rsidRPr="00A44555">
        <w:rPr>
          <w:rFonts w:ascii="Verdana" w:hAnsi="Verdana"/>
          <w:sz w:val="20"/>
          <w:szCs w:val="20"/>
        </w:rPr>
        <w:t xml:space="preserve"> on the Association’s work on </w:t>
      </w:r>
      <w:r w:rsidRPr="00A44555">
        <w:rPr>
          <w:rFonts w:ascii="Verdana" w:hAnsi="Verdana"/>
          <w:sz w:val="20"/>
          <w:szCs w:val="20"/>
        </w:rPr>
        <w:t xml:space="preserve">corporate governance and stewardship. </w:t>
      </w:r>
      <w:r w:rsidR="00451417" w:rsidRPr="00A44555">
        <w:rPr>
          <w:rFonts w:ascii="Verdana" w:hAnsi="Verdana"/>
          <w:sz w:val="20"/>
          <w:szCs w:val="20"/>
        </w:rPr>
        <w:t xml:space="preserve">The </w:t>
      </w:r>
      <w:r w:rsidR="00563E89" w:rsidRPr="00A44555">
        <w:rPr>
          <w:rFonts w:ascii="Verdana" w:hAnsi="Verdana"/>
          <w:sz w:val="20"/>
          <w:szCs w:val="20"/>
        </w:rPr>
        <w:t xml:space="preserve">LGPS </w:t>
      </w:r>
      <w:r w:rsidR="00052BBC" w:rsidRPr="00A44555">
        <w:rPr>
          <w:rFonts w:ascii="Verdana" w:hAnsi="Verdana"/>
          <w:sz w:val="20"/>
          <w:szCs w:val="20"/>
        </w:rPr>
        <w:t>forms</w:t>
      </w:r>
      <w:r w:rsidR="00563E89" w:rsidRPr="00A44555">
        <w:rPr>
          <w:rFonts w:ascii="Verdana" w:hAnsi="Verdana"/>
          <w:sz w:val="20"/>
          <w:szCs w:val="20"/>
        </w:rPr>
        <w:t xml:space="preserve"> a significant sector within the UK DB pensions landscape and t</w:t>
      </w:r>
      <w:r w:rsidRPr="00A44555">
        <w:rPr>
          <w:rFonts w:ascii="Verdana" w:hAnsi="Verdana"/>
          <w:sz w:val="20"/>
          <w:szCs w:val="20"/>
        </w:rPr>
        <w:t xml:space="preserve">he </w:t>
      </w:r>
      <w:r w:rsidR="00451417" w:rsidRPr="00A44555">
        <w:rPr>
          <w:rFonts w:ascii="Verdana" w:hAnsi="Verdana"/>
          <w:sz w:val="20"/>
          <w:szCs w:val="20"/>
        </w:rPr>
        <w:t xml:space="preserve">new </w:t>
      </w:r>
      <w:r w:rsidRPr="00A44555">
        <w:rPr>
          <w:rFonts w:ascii="Verdana" w:hAnsi="Verdana"/>
          <w:sz w:val="20"/>
          <w:szCs w:val="20"/>
        </w:rPr>
        <w:t xml:space="preserve">appointment has increased the LGPS presence on the SAG to 2 members which is welcomed by the </w:t>
      </w:r>
      <w:r w:rsidR="00563E89" w:rsidRPr="00A44555">
        <w:rPr>
          <w:rFonts w:ascii="Verdana" w:hAnsi="Verdana"/>
          <w:sz w:val="20"/>
          <w:szCs w:val="20"/>
        </w:rPr>
        <w:t>PLSA.</w:t>
      </w:r>
    </w:p>
    <w:p w:rsidR="00706B92" w:rsidRPr="00A44555" w:rsidRDefault="00706B92" w:rsidP="00911FF3">
      <w:pPr>
        <w:pStyle w:val="ListParagraph"/>
        <w:autoSpaceDE w:val="0"/>
        <w:autoSpaceDN w:val="0"/>
        <w:adjustRightInd w:val="0"/>
        <w:spacing w:after="0"/>
        <w:ind w:left="0"/>
        <w:rPr>
          <w:rFonts w:ascii="Verdana" w:hAnsi="Verdana" w:cs="NimbusSanL-Regu"/>
          <w:sz w:val="20"/>
          <w:szCs w:val="20"/>
          <w:highlight w:val="yellow"/>
        </w:rPr>
      </w:pPr>
    </w:p>
    <w:p w:rsidR="003521D7" w:rsidRPr="00A44555" w:rsidRDefault="00F16C8C" w:rsidP="00F27D62">
      <w:pPr>
        <w:pStyle w:val="ListParagraph"/>
        <w:numPr>
          <w:ilvl w:val="0"/>
          <w:numId w:val="45"/>
        </w:numPr>
        <w:spacing w:after="0" w:line="240" w:lineRule="auto"/>
        <w:ind w:left="709" w:hanging="709"/>
        <w:rPr>
          <w:rFonts w:ascii="Verdana" w:hAnsi="Verdana"/>
          <w:b/>
          <w:sz w:val="20"/>
          <w:szCs w:val="20"/>
        </w:rPr>
      </w:pPr>
      <w:r w:rsidRPr="00A44555">
        <w:rPr>
          <w:rFonts w:ascii="Verdana" w:hAnsi="Verdana"/>
          <w:b/>
          <w:sz w:val="20"/>
          <w:szCs w:val="20"/>
        </w:rPr>
        <w:t>S</w:t>
      </w:r>
      <w:r w:rsidR="00563E89" w:rsidRPr="00A44555">
        <w:rPr>
          <w:rFonts w:ascii="Verdana" w:hAnsi="Verdana"/>
          <w:b/>
          <w:sz w:val="20"/>
          <w:szCs w:val="20"/>
        </w:rPr>
        <w:t>tewardship-focussed discussion</w:t>
      </w:r>
      <w:r w:rsidR="00451417" w:rsidRPr="00A44555">
        <w:rPr>
          <w:rFonts w:ascii="Verdana" w:hAnsi="Verdana"/>
          <w:b/>
          <w:sz w:val="20"/>
          <w:szCs w:val="20"/>
        </w:rPr>
        <w:t xml:space="preserve"> </w:t>
      </w:r>
      <w:r w:rsidR="00563E89" w:rsidRPr="00A44555">
        <w:rPr>
          <w:rFonts w:ascii="Verdana" w:hAnsi="Verdana"/>
          <w:b/>
          <w:sz w:val="20"/>
          <w:szCs w:val="20"/>
        </w:rPr>
        <w:t xml:space="preserve">as part of the </w:t>
      </w:r>
      <w:r w:rsidR="003521D7" w:rsidRPr="00A44555">
        <w:rPr>
          <w:rFonts w:ascii="Verdana" w:hAnsi="Verdana"/>
          <w:b/>
          <w:sz w:val="20"/>
          <w:szCs w:val="20"/>
        </w:rPr>
        <w:t>LGPS Cross Pool Collabo</w:t>
      </w:r>
      <w:r w:rsidR="00563E89" w:rsidRPr="00A44555">
        <w:rPr>
          <w:rFonts w:ascii="Verdana" w:hAnsi="Verdana"/>
          <w:b/>
          <w:sz w:val="20"/>
          <w:szCs w:val="20"/>
        </w:rPr>
        <w:t xml:space="preserve">ration Group (CPPG) Responsible </w:t>
      </w:r>
      <w:r w:rsidR="003521D7" w:rsidRPr="00A44555">
        <w:rPr>
          <w:rFonts w:ascii="Verdana" w:hAnsi="Verdana"/>
          <w:b/>
          <w:sz w:val="20"/>
          <w:szCs w:val="20"/>
        </w:rPr>
        <w:t>Investment Sub-Group</w:t>
      </w:r>
    </w:p>
    <w:p w:rsidR="00F27D62" w:rsidRPr="00A44555" w:rsidRDefault="00F27D62" w:rsidP="00F27D62">
      <w:pPr>
        <w:spacing w:after="0"/>
        <w:rPr>
          <w:rFonts w:ascii="Verdana" w:hAnsi="Verdana"/>
          <w:sz w:val="20"/>
          <w:szCs w:val="20"/>
        </w:rPr>
      </w:pPr>
    </w:p>
    <w:p w:rsidR="00E810CD" w:rsidRPr="00A44555" w:rsidRDefault="00E810CD" w:rsidP="00F27D62">
      <w:pPr>
        <w:spacing w:after="0"/>
        <w:ind w:left="709"/>
        <w:rPr>
          <w:rFonts w:ascii="Verdana" w:hAnsi="Verdana"/>
          <w:sz w:val="20"/>
          <w:szCs w:val="20"/>
        </w:rPr>
      </w:pPr>
      <w:r w:rsidRPr="00A44555">
        <w:rPr>
          <w:rFonts w:ascii="Verdana" w:hAnsi="Verdana"/>
          <w:sz w:val="20"/>
          <w:szCs w:val="20"/>
        </w:rPr>
        <w:t xml:space="preserve">The establishment of a specific RI Sub Group to the CPCG was detailed </w:t>
      </w:r>
      <w:r w:rsidR="00F16C8C" w:rsidRPr="00A44555">
        <w:rPr>
          <w:rFonts w:ascii="Verdana" w:hAnsi="Verdana"/>
          <w:sz w:val="20"/>
          <w:szCs w:val="20"/>
        </w:rPr>
        <w:t>with</w:t>
      </w:r>
      <w:r w:rsidRPr="00A44555">
        <w:rPr>
          <w:rFonts w:ascii="Verdana" w:hAnsi="Verdana"/>
          <w:sz w:val="20"/>
          <w:szCs w:val="20"/>
        </w:rPr>
        <w:t xml:space="preserve">in the </w:t>
      </w:r>
      <w:r w:rsidR="00F16C8C" w:rsidRPr="00A44555">
        <w:rPr>
          <w:rFonts w:ascii="Verdana" w:hAnsi="Verdana"/>
          <w:sz w:val="20"/>
          <w:szCs w:val="20"/>
        </w:rPr>
        <w:t xml:space="preserve">Committee's previous </w:t>
      </w:r>
      <w:r w:rsidRPr="00A44555">
        <w:rPr>
          <w:rFonts w:ascii="Verdana" w:hAnsi="Verdana"/>
          <w:sz w:val="20"/>
          <w:szCs w:val="20"/>
        </w:rPr>
        <w:t>quarterly report on RI (10</w:t>
      </w:r>
      <w:r w:rsidRPr="00A44555">
        <w:rPr>
          <w:rFonts w:ascii="Verdana" w:hAnsi="Verdana"/>
          <w:sz w:val="20"/>
          <w:szCs w:val="20"/>
          <w:vertAlign w:val="superscript"/>
        </w:rPr>
        <w:t>th</w:t>
      </w:r>
      <w:r w:rsidRPr="00A44555">
        <w:rPr>
          <w:rFonts w:ascii="Verdana" w:hAnsi="Verdana"/>
          <w:sz w:val="20"/>
          <w:szCs w:val="20"/>
        </w:rPr>
        <w:t xml:space="preserve"> June 2016).</w:t>
      </w:r>
    </w:p>
    <w:p w:rsidR="003521D7" w:rsidRPr="00A44555" w:rsidRDefault="00563E89" w:rsidP="00F27D62">
      <w:pPr>
        <w:spacing w:after="0"/>
        <w:ind w:left="709"/>
        <w:rPr>
          <w:rFonts w:ascii="Verdana" w:hAnsi="Verdana"/>
          <w:sz w:val="20"/>
          <w:szCs w:val="20"/>
        </w:rPr>
      </w:pPr>
      <w:r w:rsidRPr="00A44555">
        <w:rPr>
          <w:rFonts w:ascii="Verdana" w:hAnsi="Verdana"/>
          <w:sz w:val="20"/>
          <w:szCs w:val="20"/>
        </w:rPr>
        <w:t xml:space="preserve">The </w:t>
      </w:r>
      <w:r w:rsidR="00E810CD" w:rsidRPr="00A44555">
        <w:rPr>
          <w:rFonts w:ascii="Verdana" w:hAnsi="Verdana"/>
          <w:sz w:val="20"/>
          <w:szCs w:val="20"/>
        </w:rPr>
        <w:t>RI Sub G</w:t>
      </w:r>
      <w:r w:rsidRPr="00A44555">
        <w:rPr>
          <w:rFonts w:ascii="Verdana" w:hAnsi="Verdana"/>
          <w:sz w:val="20"/>
          <w:szCs w:val="20"/>
        </w:rPr>
        <w:t xml:space="preserve">roup has met twice in the quarter (13 May 2016, </w:t>
      </w:r>
      <w:r w:rsidR="003521D7" w:rsidRPr="00A44555">
        <w:rPr>
          <w:rFonts w:ascii="Verdana" w:hAnsi="Verdana"/>
          <w:sz w:val="20"/>
          <w:szCs w:val="20"/>
        </w:rPr>
        <w:t>7</w:t>
      </w:r>
      <w:r w:rsidR="003521D7" w:rsidRPr="00A44555">
        <w:rPr>
          <w:rFonts w:ascii="Verdana" w:hAnsi="Verdana"/>
          <w:sz w:val="20"/>
          <w:szCs w:val="20"/>
          <w:vertAlign w:val="superscript"/>
        </w:rPr>
        <w:t>th</w:t>
      </w:r>
      <w:r w:rsidR="003521D7" w:rsidRPr="00A44555">
        <w:rPr>
          <w:rFonts w:ascii="Verdana" w:hAnsi="Verdana"/>
          <w:sz w:val="20"/>
          <w:szCs w:val="20"/>
        </w:rPr>
        <w:t xml:space="preserve"> June</w:t>
      </w:r>
      <w:r w:rsidRPr="00A44555">
        <w:rPr>
          <w:rFonts w:ascii="Verdana" w:hAnsi="Verdana"/>
          <w:sz w:val="20"/>
          <w:szCs w:val="20"/>
        </w:rPr>
        <w:t xml:space="preserve"> 2016)</w:t>
      </w:r>
      <w:r w:rsidR="00A72DD1" w:rsidRPr="00A44555">
        <w:rPr>
          <w:rFonts w:ascii="Verdana" w:hAnsi="Verdana"/>
          <w:sz w:val="20"/>
          <w:szCs w:val="20"/>
        </w:rPr>
        <w:t xml:space="preserve"> with attendance from the LPP I RI Officer</w:t>
      </w:r>
      <w:r w:rsidRPr="00A44555">
        <w:rPr>
          <w:rFonts w:ascii="Verdana" w:hAnsi="Verdana"/>
          <w:sz w:val="20"/>
          <w:szCs w:val="20"/>
        </w:rPr>
        <w:t xml:space="preserve">. </w:t>
      </w:r>
      <w:r w:rsidR="00451417" w:rsidRPr="00A44555">
        <w:rPr>
          <w:rFonts w:ascii="Verdana" w:hAnsi="Verdana"/>
          <w:sz w:val="20"/>
          <w:szCs w:val="20"/>
        </w:rPr>
        <w:t xml:space="preserve">Working collaboratively as </w:t>
      </w:r>
      <w:r w:rsidRPr="00A44555">
        <w:rPr>
          <w:rFonts w:ascii="Verdana" w:hAnsi="Verdana"/>
          <w:sz w:val="20"/>
          <w:szCs w:val="20"/>
        </w:rPr>
        <w:t>RI practitioners</w:t>
      </w:r>
      <w:r w:rsidR="00E810CD" w:rsidRPr="00A44555">
        <w:rPr>
          <w:rFonts w:ascii="Verdana" w:hAnsi="Verdana"/>
          <w:sz w:val="20"/>
          <w:szCs w:val="20"/>
        </w:rPr>
        <w:t>,</w:t>
      </w:r>
      <w:r w:rsidRPr="00A44555">
        <w:rPr>
          <w:rFonts w:ascii="Verdana" w:hAnsi="Verdana"/>
          <w:sz w:val="20"/>
          <w:szCs w:val="20"/>
        </w:rPr>
        <w:t xml:space="preserve"> representatives have </w:t>
      </w:r>
      <w:r w:rsidR="00451417" w:rsidRPr="00A44555">
        <w:rPr>
          <w:rFonts w:ascii="Verdana" w:hAnsi="Verdana"/>
          <w:sz w:val="20"/>
          <w:szCs w:val="20"/>
        </w:rPr>
        <w:t xml:space="preserve">seized </w:t>
      </w:r>
      <w:r w:rsidRPr="00A44555">
        <w:rPr>
          <w:rFonts w:ascii="Verdana" w:hAnsi="Verdana"/>
          <w:sz w:val="20"/>
          <w:szCs w:val="20"/>
        </w:rPr>
        <w:t xml:space="preserve">the opportunity to provide collective </w:t>
      </w:r>
      <w:r w:rsidR="00E810CD" w:rsidRPr="00A44555">
        <w:rPr>
          <w:rFonts w:ascii="Verdana" w:hAnsi="Verdana"/>
          <w:sz w:val="20"/>
          <w:szCs w:val="20"/>
        </w:rPr>
        <w:t xml:space="preserve">feedback to the DCLG on </w:t>
      </w:r>
      <w:r w:rsidRPr="00A44555">
        <w:rPr>
          <w:rFonts w:ascii="Verdana" w:hAnsi="Verdana"/>
          <w:sz w:val="20"/>
          <w:szCs w:val="20"/>
        </w:rPr>
        <w:t xml:space="preserve">requirements for </w:t>
      </w:r>
      <w:r w:rsidR="00451417" w:rsidRPr="00A44555">
        <w:rPr>
          <w:rFonts w:ascii="Verdana" w:hAnsi="Verdana"/>
          <w:sz w:val="20"/>
          <w:szCs w:val="20"/>
        </w:rPr>
        <w:t>reflecting</w:t>
      </w:r>
      <w:r w:rsidRPr="00A44555">
        <w:rPr>
          <w:rFonts w:ascii="Verdana" w:hAnsi="Verdana"/>
          <w:sz w:val="20"/>
          <w:szCs w:val="20"/>
        </w:rPr>
        <w:t xml:space="preserve"> stewardship and </w:t>
      </w:r>
      <w:r w:rsidR="00AA6E97" w:rsidRPr="00A44555">
        <w:rPr>
          <w:rFonts w:ascii="Verdana" w:hAnsi="Verdana"/>
          <w:sz w:val="20"/>
          <w:szCs w:val="20"/>
        </w:rPr>
        <w:t>RI</w:t>
      </w:r>
      <w:r w:rsidRPr="00A44555">
        <w:rPr>
          <w:rFonts w:ascii="Verdana" w:hAnsi="Verdana"/>
          <w:sz w:val="20"/>
          <w:szCs w:val="20"/>
        </w:rPr>
        <w:t xml:space="preserve"> within </w:t>
      </w:r>
      <w:r w:rsidR="00451417" w:rsidRPr="00A44555">
        <w:rPr>
          <w:rFonts w:ascii="Verdana" w:hAnsi="Verdana"/>
          <w:sz w:val="20"/>
          <w:szCs w:val="20"/>
        </w:rPr>
        <w:t>the revised LGPS Investment R</w:t>
      </w:r>
      <w:r w:rsidRPr="00A44555">
        <w:rPr>
          <w:rFonts w:ascii="Verdana" w:hAnsi="Verdana"/>
          <w:sz w:val="20"/>
          <w:szCs w:val="20"/>
        </w:rPr>
        <w:t xml:space="preserve">egulations </w:t>
      </w:r>
      <w:r w:rsidR="00451417" w:rsidRPr="00A44555">
        <w:rPr>
          <w:rFonts w:ascii="Verdana" w:hAnsi="Verdana"/>
          <w:sz w:val="20"/>
          <w:szCs w:val="20"/>
        </w:rPr>
        <w:t xml:space="preserve">and the guidance which will accompany them. The group will continue to provide a forum for encouraging consistent approaches and providing cross pool support for the practical, procedural and policy-based </w:t>
      </w:r>
      <w:r w:rsidR="00A72DD1" w:rsidRPr="00A44555">
        <w:rPr>
          <w:rFonts w:ascii="Verdana" w:hAnsi="Verdana"/>
          <w:sz w:val="20"/>
          <w:szCs w:val="20"/>
        </w:rPr>
        <w:t xml:space="preserve">stewardship </w:t>
      </w:r>
      <w:r w:rsidR="00451417" w:rsidRPr="00A44555">
        <w:rPr>
          <w:rFonts w:ascii="Verdana" w:hAnsi="Verdana"/>
          <w:sz w:val="20"/>
          <w:szCs w:val="20"/>
        </w:rPr>
        <w:t xml:space="preserve">challenges </w:t>
      </w:r>
      <w:r w:rsidR="00AA6E97" w:rsidRPr="00A44555">
        <w:rPr>
          <w:rFonts w:ascii="Verdana" w:hAnsi="Verdana"/>
          <w:sz w:val="20"/>
          <w:szCs w:val="20"/>
        </w:rPr>
        <w:t>that arise</w:t>
      </w:r>
      <w:r w:rsidR="00451417" w:rsidRPr="00A44555">
        <w:rPr>
          <w:rFonts w:ascii="Verdana" w:hAnsi="Verdana"/>
          <w:sz w:val="20"/>
          <w:szCs w:val="20"/>
        </w:rPr>
        <w:t xml:space="preserve"> out of LGPS pooling.</w:t>
      </w:r>
      <w:r w:rsidR="00F16C8C" w:rsidRPr="00A44555">
        <w:rPr>
          <w:rFonts w:ascii="Verdana" w:hAnsi="Verdana"/>
          <w:sz w:val="20"/>
          <w:szCs w:val="20"/>
        </w:rPr>
        <w:t xml:space="preserve"> </w:t>
      </w:r>
    </w:p>
    <w:p w:rsidR="00F96E6E" w:rsidRPr="00A44555" w:rsidRDefault="00F96E6E" w:rsidP="00F27D62">
      <w:pPr>
        <w:spacing w:after="0"/>
        <w:ind w:left="709"/>
        <w:rPr>
          <w:rFonts w:ascii="Verdana" w:hAnsi="Verdana"/>
          <w:sz w:val="20"/>
          <w:szCs w:val="20"/>
        </w:rPr>
      </w:pPr>
    </w:p>
    <w:p w:rsidR="00197BA3" w:rsidRPr="00A44555" w:rsidRDefault="00197BA3" w:rsidP="00CC7D29">
      <w:pPr>
        <w:autoSpaceDE w:val="0"/>
        <w:autoSpaceDN w:val="0"/>
        <w:adjustRightInd w:val="0"/>
        <w:spacing w:after="0"/>
        <w:ind w:left="709"/>
        <w:rPr>
          <w:rFonts w:ascii="Verdana" w:hAnsi="Verdana"/>
          <w:iCs/>
          <w:sz w:val="20"/>
          <w:szCs w:val="20"/>
        </w:rPr>
      </w:pPr>
    </w:p>
    <w:p w:rsidR="00197BA3" w:rsidRPr="00A44555" w:rsidRDefault="00197BA3" w:rsidP="00197BA3">
      <w:pPr>
        <w:autoSpaceDE w:val="0"/>
        <w:autoSpaceDN w:val="0"/>
        <w:adjustRightInd w:val="0"/>
        <w:spacing w:after="0"/>
        <w:rPr>
          <w:rFonts w:ascii="Verdana" w:hAnsi="Verdana"/>
          <w:sz w:val="20"/>
          <w:szCs w:val="20"/>
        </w:rPr>
      </w:pPr>
    </w:p>
    <w:p w:rsidR="00E04E31" w:rsidRPr="00A44555" w:rsidRDefault="00E04E31" w:rsidP="00197BA3">
      <w:pPr>
        <w:spacing w:after="0"/>
        <w:jc w:val="both"/>
        <w:rPr>
          <w:rFonts w:ascii="Verdana" w:hAnsi="Verdana" w:cs="Arial"/>
          <w:bCs/>
          <w:sz w:val="20"/>
          <w:szCs w:val="20"/>
        </w:rPr>
      </w:pPr>
    </w:p>
    <w:sectPr w:rsidR="00E04E31" w:rsidRPr="00A44555" w:rsidSect="00B23C16">
      <w:footerReference w:type="default" r:id="rId10"/>
      <w:headerReference w:type="first" r:id="rId11"/>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9B" w:rsidRDefault="00506F9B" w:rsidP="00852E7F">
      <w:pPr>
        <w:spacing w:after="0" w:line="240" w:lineRule="auto"/>
      </w:pPr>
      <w:r>
        <w:separator/>
      </w:r>
    </w:p>
  </w:endnote>
  <w:endnote w:type="continuationSeparator" w:id="0">
    <w:p w:rsidR="00506F9B" w:rsidRDefault="00506F9B" w:rsidP="0085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Seravek">
    <w:panose1 w:val="00000000000000000000"/>
    <w:charset w:val="00"/>
    <w:family w:val="swiss"/>
    <w:notTrueType/>
    <w:pitch w:val="default"/>
    <w:sig w:usb0="00000003" w:usb1="00000000" w:usb2="00000000" w:usb3="00000000" w:csb0="00000001" w:csb1="00000000"/>
  </w:font>
  <w:font w:name="Seravek-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9B" w:rsidRDefault="00506F9B">
    <w:pPr>
      <w:pStyle w:val="Footer"/>
    </w:pPr>
  </w:p>
  <w:p w:rsidR="00506F9B" w:rsidRDefault="0050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9B" w:rsidRDefault="00506F9B" w:rsidP="00852E7F">
      <w:pPr>
        <w:spacing w:after="0" w:line="240" w:lineRule="auto"/>
      </w:pPr>
      <w:r>
        <w:separator/>
      </w:r>
    </w:p>
  </w:footnote>
  <w:footnote w:type="continuationSeparator" w:id="0">
    <w:p w:rsidR="00506F9B" w:rsidRDefault="00506F9B" w:rsidP="0085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9B" w:rsidRDefault="00506F9B">
    <w:pPr>
      <w:pStyle w:val="Header"/>
    </w:pPr>
    <w:r>
      <w:rPr>
        <w:noProof/>
        <w:lang w:eastAsia="en-GB"/>
      </w:rPr>
      <w:drawing>
        <wp:anchor distT="0" distB="0" distL="114300" distR="114300" simplePos="0" relativeHeight="251658240" behindDoc="0" locked="0" layoutInCell="1" allowOverlap="1" wp14:anchorId="75797AA0" wp14:editId="50623DB7">
          <wp:simplePos x="0" y="0"/>
          <wp:positionH relativeFrom="column">
            <wp:posOffset>4102735</wp:posOffset>
          </wp:positionH>
          <wp:positionV relativeFrom="paragraph">
            <wp:posOffset>94615</wp:posOffset>
          </wp:positionV>
          <wp:extent cx="2152650" cy="1076325"/>
          <wp:effectExtent l="0" t="0" r="0" b="9525"/>
          <wp:wrapSquare wrapText="bothSides"/>
          <wp:docPr id="1" name="Picture 1"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F9B" w:rsidRDefault="00506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A67"/>
    <w:multiLevelType w:val="hybridMultilevel"/>
    <w:tmpl w:val="510A76B2"/>
    <w:lvl w:ilvl="0" w:tplc="F990C0F0">
      <w:start w:val="1"/>
      <w:numFmt w:val="lowerRoman"/>
      <w:lvlText w:val="%1."/>
      <w:lvlJc w:val="left"/>
      <w:pPr>
        <w:tabs>
          <w:tab w:val="num" w:pos="510"/>
        </w:tabs>
        <w:ind w:left="454" w:hanging="454"/>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62368B"/>
    <w:multiLevelType w:val="hybridMultilevel"/>
    <w:tmpl w:val="41ACD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750"/>
    <w:multiLevelType w:val="hybridMultilevel"/>
    <w:tmpl w:val="636CB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C17C94"/>
    <w:multiLevelType w:val="hybridMultilevel"/>
    <w:tmpl w:val="B22CE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0026F"/>
    <w:multiLevelType w:val="hybridMultilevel"/>
    <w:tmpl w:val="FBE2CC2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444BBF"/>
    <w:multiLevelType w:val="hybridMultilevel"/>
    <w:tmpl w:val="6A84AB34"/>
    <w:lvl w:ilvl="0" w:tplc="8A5698F4">
      <w:start w:val="1"/>
      <w:numFmt w:val="decimal"/>
      <w:pStyle w:val="tr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6AAD"/>
    <w:multiLevelType w:val="hybridMultilevel"/>
    <w:tmpl w:val="5534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707C1"/>
    <w:multiLevelType w:val="hybridMultilevel"/>
    <w:tmpl w:val="1C9CD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2CDD"/>
    <w:multiLevelType w:val="hybridMultilevel"/>
    <w:tmpl w:val="CA1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8AC"/>
    <w:multiLevelType w:val="hybridMultilevel"/>
    <w:tmpl w:val="614AF12A"/>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A1992"/>
    <w:multiLevelType w:val="multilevel"/>
    <w:tmpl w:val="5A4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70E29"/>
    <w:multiLevelType w:val="hybridMultilevel"/>
    <w:tmpl w:val="B54A8A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1526E1"/>
    <w:multiLevelType w:val="hybridMultilevel"/>
    <w:tmpl w:val="6CB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25248"/>
    <w:multiLevelType w:val="hybridMultilevel"/>
    <w:tmpl w:val="916C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946EF"/>
    <w:multiLevelType w:val="hybridMultilevel"/>
    <w:tmpl w:val="C4DCBF46"/>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F21B3"/>
    <w:multiLevelType w:val="hybridMultilevel"/>
    <w:tmpl w:val="532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36248"/>
    <w:multiLevelType w:val="hybridMultilevel"/>
    <w:tmpl w:val="428A08EE"/>
    <w:lvl w:ilvl="0" w:tplc="E676C954">
      <w:start w:val="1"/>
      <w:numFmt w:val="lowerRoman"/>
      <w:lvlText w:val="%1."/>
      <w:lvlJc w:val="left"/>
      <w:pPr>
        <w:tabs>
          <w:tab w:val="num" w:pos="51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A4494"/>
    <w:multiLevelType w:val="hybridMultilevel"/>
    <w:tmpl w:val="594AC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76C4D"/>
    <w:multiLevelType w:val="hybridMultilevel"/>
    <w:tmpl w:val="1AE077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723BF"/>
    <w:multiLevelType w:val="hybridMultilevel"/>
    <w:tmpl w:val="AFF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85094"/>
    <w:multiLevelType w:val="hybridMultilevel"/>
    <w:tmpl w:val="0274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A39D7"/>
    <w:multiLevelType w:val="multilevel"/>
    <w:tmpl w:val="4E58E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268FE"/>
    <w:multiLevelType w:val="hybridMultilevel"/>
    <w:tmpl w:val="64A0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E054F"/>
    <w:multiLevelType w:val="hybridMultilevel"/>
    <w:tmpl w:val="A98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179FD"/>
    <w:multiLevelType w:val="hybridMultilevel"/>
    <w:tmpl w:val="576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12DEC"/>
    <w:multiLevelType w:val="hybridMultilevel"/>
    <w:tmpl w:val="080E3A3C"/>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C4589"/>
    <w:multiLevelType w:val="hybridMultilevel"/>
    <w:tmpl w:val="D1F8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F7C35"/>
    <w:multiLevelType w:val="hybridMultilevel"/>
    <w:tmpl w:val="92E0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E2067"/>
    <w:multiLevelType w:val="hybridMultilevel"/>
    <w:tmpl w:val="7D9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46AAA"/>
    <w:multiLevelType w:val="hybridMultilevel"/>
    <w:tmpl w:val="8B6A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D72DD"/>
    <w:multiLevelType w:val="hybridMultilevel"/>
    <w:tmpl w:val="7472AA9C"/>
    <w:lvl w:ilvl="0" w:tplc="55203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84016"/>
    <w:multiLevelType w:val="hybridMultilevel"/>
    <w:tmpl w:val="AEEC19FC"/>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0325"/>
    <w:multiLevelType w:val="hybridMultilevel"/>
    <w:tmpl w:val="0ED66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D3A52"/>
    <w:multiLevelType w:val="hybridMultilevel"/>
    <w:tmpl w:val="190E7D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E2717F"/>
    <w:multiLevelType w:val="hybridMultilevel"/>
    <w:tmpl w:val="CE4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44462"/>
    <w:multiLevelType w:val="hybridMultilevel"/>
    <w:tmpl w:val="38E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5"/>
  </w:num>
  <w:num w:numId="4">
    <w:abstractNumId w:val="0"/>
  </w:num>
  <w:num w:numId="5">
    <w:abstractNumId w:val="16"/>
  </w:num>
  <w:num w:numId="6">
    <w:abstractNumId w:val="22"/>
  </w:num>
  <w:num w:numId="7">
    <w:abstractNumId w:val="26"/>
  </w:num>
  <w:num w:numId="8">
    <w:abstractNumId w:val="9"/>
  </w:num>
  <w:num w:numId="9">
    <w:abstractNumId w:val="25"/>
  </w:num>
  <w:num w:numId="10">
    <w:abstractNumId w:val="31"/>
  </w:num>
  <w:num w:numId="11">
    <w:abstractNumId w:val="24"/>
  </w:num>
  <w:num w:numId="12">
    <w:abstractNumId w:val="19"/>
  </w:num>
  <w:num w:numId="13">
    <w:abstractNumId w:val="13"/>
  </w:num>
  <w:num w:numId="14">
    <w:abstractNumId w:val="18"/>
  </w:num>
  <w:num w:numId="15">
    <w:abstractNumId w:val="2"/>
  </w:num>
  <w:num w:numId="16">
    <w:abstractNumId w:val="6"/>
  </w:num>
  <w:num w:numId="17">
    <w:abstractNumId w:val="14"/>
  </w:num>
  <w:num w:numId="18">
    <w:abstractNumId w:val="5"/>
  </w:num>
  <w:num w:numId="19">
    <w:abstractNumId w:val="5"/>
    <w:lvlOverride w:ilvl="0">
      <w:startOverride w:val="1"/>
    </w:lvlOverride>
  </w:num>
  <w:num w:numId="20">
    <w:abstractNumId w:val="5"/>
    <w:lvlOverride w:ilvl="0">
      <w:startOverride w:val="3"/>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3"/>
  </w:num>
  <w:num w:numId="29">
    <w:abstractNumId w:val="1"/>
  </w:num>
  <w:num w:numId="30">
    <w:abstractNumId w:val="4"/>
  </w:num>
  <w:num w:numId="31">
    <w:abstractNumId w:val="5"/>
  </w:num>
  <w:num w:numId="32">
    <w:abstractNumId w:val="5"/>
  </w:num>
  <w:num w:numId="33">
    <w:abstractNumId w:val="5"/>
  </w:num>
  <w:num w:numId="34">
    <w:abstractNumId w:val="12"/>
  </w:num>
  <w:num w:numId="35">
    <w:abstractNumId w:val="23"/>
  </w:num>
  <w:num w:numId="36">
    <w:abstractNumId w:val="30"/>
  </w:num>
  <w:num w:numId="37">
    <w:abstractNumId w:val="29"/>
  </w:num>
  <w:num w:numId="38">
    <w:abstractNumId w:val="20"/>
  </w:num>
  <w:num w:numId="39">
    <w:abstractNumId w:val="15"/>
  </w:num>
  <w:num w:numId="40">
    <w:abstractNumId w:val="34"/>
  </w:num>
  <w:num w:numId="41">
    <w:abstractNumId w:val="11"/>
  </w:num>
  <w:num w:numId="42">
    <w:abstractNumId w:val="21"/>
  </w:num>
  <w:num w:numId="43">
    <w:abstractNumId w:val="33"/>
  </w:num>
  <w:num w:numId="44">
    <w:abstractNumId w:val="7"/>
  </w:num>
  <w:num w:numId="45">
    <w:abstractNumId w:val="28"/>
  </w:num>
  <w:num w:numId="46">
    <w:abstractNumId w:val="32"/>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08"/>
    <w:rsid w:val="000004DB"/>
    <w:rsid w:val="000047A2"/>
    <w:rsid w:val="00016924"/>
    <w:rsid w:val="000437E4"/>
    <w:rsid w:val="00052BBC"/>
    <w:rsid w:val="00053C0A"/>
    <w:rsid w:val="00060430"/>
    <w:rsid w:val="00061EF2"/>
    <w:rsid w:val="00074E14"/>
    <w:rsid w:val="000819F9"/>
    <w:rsid w:val="000E3F88"/>
    <w:rsid w:val="00105615"/>
    <w:rsid w:val="0011219D"/>
    <w:rsid w:val="00131364"/>
    <w:rsid w:val="00141760"/>
    <w:rsid w:val="00160F73"/>
    <w:rsid w:val="00162D4F"/>
    <w:rsid w:val="001828C5"/>
    <w:rsid w:val="00197BA3"/>
    <w:rsid w:val="001C619F"/>
    <w:rsid w:val="001C7692"/>
    <w:rsid w:val="001D050E"/>
    <w:rsid w:val="001E08F6"/>
    <w:rsid w:val="001E6400"/>
    <w:rsid w:val="00201AB8"/>
    <w:rsid w:val="00211EEB"/>
    <w:rsid w:val="00220451"/>
    <w:rsid w:val="00224A7B"/>
    <w:rsid w:val="00232FB5"/>
    <w:rsid w:val="0024336D"/>
    <w:rsid w:val="00247BE5"/>
    <w:rsid w:val="00250BB6"/>
    <w:rsid w:val="00251284"/>
    <w:rsid w:val="002563FD"/>
    <w:rsid w:val="002626AA"/>
    <w:rsid w:val="002639DA"/>
    <w:rsid w:val="00271900"/>
    <w:rsid w:val="00297DEB"/>
    <w:rsid w:val="002A237B"/>
    <w:rsid w:val="002C1ACA"/>
    <w:rsid w:val="002C3BAB"/>
    <w:rsid w:val="002D3792"/>
    <w:rsid w:val="002D6706"/>
    <w:rsid w:val="002F72CE"/>
    <w:rsid w:val="00303B3C"/>
    <w:rsid w:val="0030477F"/>
    <w:rsid w:val="00305CFE"/>
    <w:rsid w:val="003072F0"/>
    <w:rsid w:val="00320885"/>
    <w:rsid w:val="00321072"/>
    <w:rsid w:val="003376EB"/>
    <w:rsid w:val="00343C9E"/>
    <w:rsid w:val="003521D7"/>
    <w:rsid w:val="003540AF"/>
    <w:rsid w:val="003774D8"/>
    <w:rsid w:val="003906C4"/>
    <w:rsid w:val="00397308"/>
    <w:rsid w:val="003A04EA"/>
    <w:rsid w:val="003C5C5A"/>
    <w:rsid w:val="003C7D81"/>
    <w:rsid w:val="003D5E62"/>
    <w:rsid w:val="003E4ABE"/>
    <w:rsid w:val="003E6105"/>
    <w:rsid w:val="003F57EF"/>
    <w:rsid w:val="00406568"/>
    <w:rsid w:val="00411F9E"/>
    <w:rsid w:val="0042655F"/>
    <w:rsid w:val="004308C9"/>
    <w:rsid w:val="004341C5"/>
    <w:rsid w:val="00451417"/>
    <w:rsid w:val="00464AEE"/>
    <w:rsid w:val="004651E6"/>
    <w:rsid w:val="00482DE0"/>
    <w:rsid w:val="004B4E34"/>
    <w:rsid w:val="004E3EBA"/>
    <w:rsid w:val="00506F9B"/>
    <w:rsid w:val="005151F2"/>
    <w:rsid w:val="0053189E"/>
    <w:rsid w:val="00536E3C"/>
    <w:rsid w:val="00541753"/>
    <w:rsid w:val="005443F5"/>
    <w:rsid w:val="00551D7E"/>
    <w:rsid w:val="00554318"/>
    <w:rsid w:val="00555677"/>
    <w:rsid w:val="00562F7C"/>
    <w:rsid w:val="0056371F"/>
    <w:rsid w:val="00563E89"/>
    <w:rsid w:val="00572DCB"/>
    <w:rsid w:val="005838FB"/>
    <w:rsid w:val="00586429"/>
    <w:rsid w:val="00591B8E"/>
    <w:rsid w:val="005A3114"/>
    <w:rsid w:val="005A38F5"/>
    <w:rsid w:val="00604799"/>
    <w:rsid w:val="006051F4"/>
    <w:rsid w:val="00606094"/>
    <w:rsid w:val="006061AE"/>
    <w:rsid w:val="00626882"/>
    <w:rsid w:val="00630513"/>
    <w:rsid w:val="006403C0"/>
    <w:rsid w:val="006578F6"/>
    <w:rsid w:val="006810AB"/>
    <w:rsid w:val="00682796"/>
    <w:rsid w:val="006B647D"/>
    <w:rsid w:val="006C742E"/>
    <w:rsid w:val="006D512B"/>
    <w:rsid w:val="006D5214"/>
    <w:rsid w:val="006E5364"/>
    <w:rsid w:val="006F45D1"/>
    <w:rsid w:val="006F74BD"/>
    <w:rsid w:val="006F7649"/>
    <w:rsid w:val="0070282E"/>
    <w:rsid w:val="00706B92"/>
    <w:rsid w:val="00707FD9"/>
    <w:rsid w:val="00711258"/>
    <w:rsid w:val="0071167C"/>
    <w:rsid w:val="00726078"/>
    <w:rsid w:val="007315B8"/>
    <w:rsid w:val="00732355"/>
    <w:rsid w:val="00732BDC"/>
    <w:rsid w:val="00777CA7"/>
    <w:rsid w:val="00782894"/>
    <w:rsid w:val="0079352B"/>
    <w:rsid w:val="00794939"/>
    <w:rsid w:val="0079735A"/>
    <w:rsid w:val="00797BC6"/>
    <w:rsid w:val="007A2C6F"/>
    <w:rsid w:val="007A3C37"/>
    <w:rsid w:val="007B10A5"/>
    <w:rsid w:val="007C75DA"/>
    <w:rsid w:val="007E381E"/>
    <w:rsid w:val="007F1BB1"/>
    <w:rsid w:val="00801476"/>
    <w:rsid w:val="008236A7"/>
    <w:rsid w:val="00852E7F"/>
    <w:rsid w:val="00853D3E"/>
    <w:rsid w:val="008541E7"/>
    <w:rsid w:val="00855080"/>
    <w:rsid w:val="00873CFD"/>
    <w:rsid w:val="00887DDF"/>
    <w:rsid w:val="0089025C"/>
    <w:rsid w:val="008B5C84"/>
    <w:rsid w:val="008D2D67"/>
    <w:rsid w:val="008D79BE"/>
    <w:rsid w:val="008E51DB"/>
    <w:rsid w:val="008F1CD2"/>
    <w:rsid w:val="00905880"/>
    <w:rsid w:val="00911FF3"/>
    <w:rsid w:val="0092023F"/>
    <w:rsid w:val="00924224"/>
    <w:rsid w:val="00925D96"/>
    <w:rsid w:val="00951CF4"/>
    <w:rsid w:val="00955A6E"/>
    <w:rsid w:val="00966A77"/>
    <w:rsid w:val="009674D1"/>
    <w:rsid w:val="00973254"/>
    <w:rsid w:val="00987E5E"/>
    <w:rsid w:val="009950A0"/>
    <w:rsid w:val="009B7DA5"/>
    <w:rsid w:val="009C22C5"/>
    <w:rsid w:val="009C39E5"/>
    <w:rsid w:val="009C7FB6"/>
    <w:rsid w:val="009E0790"/>
    <w:rsid w:val="009E19DC"/>
    <w:rsid w:val="00A04AA5"/>
    <w:rsid w:val="00A06343"/>
    <w:rsid w:val="00A22EA5"/>
    <w:rsid w:val="00A24C80"/>
    <w:rsid w:val="00A268E0"/>
    <w:rsid w:val="00A44555"/>
    <w:rsid w:val="00A46231"/>
    <w:rsid w:val="00A52BD6"/>
    <w:rsid w:val="00A6170F"/>
    <w:rsid w:val="00A72DD1"/>
    <w:rsid w:val="00A81BF8"/>
    <w:rsid w:val="00AA6E97"/>
    <w:rsid w:val="00AB62BA"/>
    <w:rsid w:val="00AD7651"/>
    <w:rsid w:val="00AF68BD"/>
    <w:rsid w:val="00B22E56"/>
    <w:rsid w:val="00B23C16"/>
    <w:rsid w:val="00B34788"/>
    <w:rsid w:val="00B50F84"/>
    <w:rsid w:val="00B91CBD"/>
    <w:rsid w:val="00B92BF1"/>
    <w:rsid w:val="00BA6EB9"/>
    <w:rsid w:val="00BB14CD"/>
    <w:rsid w:val="00BB570A"/>
    <w:rsid w:val="00BC02E5"/>
    <w:rsid w:val="00BD7F9E"/>
    <w:rsid w:val="00BF7D87"/>
    <w:rsid w:val="00C03D8F"/>
    <w:rsid w:val="00C04D18"/>
    <w:rsid w:val="00C316CD"/>
    <w:rsid w:val="00C333F6"/>
    <w:rsid w:val="00C41B91"/>
    <w:rsid w:val="00C46E27"/>
    <w:rsid w:val="00C63D00"/>
    <w:rsid w:val="00C94F28"/>
    <w:rsid w:val="00C968DC"/>
    <w:rsid w:val="00CA021A"/>
    <w:rsid w:val="00CA3E64"/>
    <w:rsid w:val="00CB0E7A"/>
    <w:rsid w:val="00CB45B8"/>
    <w:rsid w:val="00CC127A"/>
    <w:rsid w:val="00CC6923"/>
    <w:rsid w:val="00CC7D29"/>
    <w:rsid w:val="00CE3678"/>
    <w:rsid w:val="00CE4A7D"/>
    <w:rsid w:val="00D058DA"/>
    <w:rsid w:val="00D25E57"/>
    <w:rsid w:val="00D326DE"/>
    <w:rsid w:val="00D420E5"/>
    <w:rsid w:val="00D4407B"/>
    <w:rsid w:val="00D57238"/>
    <w:rsid w:val="00D85248"/>
    <w:rsid w:val="00DA6317"/>
    <w:rsid w:val="00DB4C35"/>
    <w:rsid w:val="00DD76B6"/>
    <w:rsid w:val="00DE5745"/>
    <w:rsid w:val="00DF6615"/>
    <w:rsid w:val="00E0367E"/>
    <w:rsid w:val="00E04E31"/>
    <w:rsid w:val="00E04E64"/>
    <w:rsid w:val="00E44745"/>
    <w:rsid w:val="00E51D19"/>
    <w:rsid w:val="00E54D6A"/>
    <w:rsid w:val="00E73791"/>
    <w:rsid w:val="00E810CD"/>
    <w:rsid w:val="00E9007D"/>
    <w:rsid w:val="00E92BCB"/>
    <w:rsid w:val="00EA1C04"/>
    <w:rsid w:val="00EA78D6"/>
    <w:rsid w:val="00EB0100"/>
    <w:rsid w:val="00EF3F9A"/>
    <w:rsid w:val="00F15C55"/>
    <w:rsid w:val="00F16C8C"/>
    <w:rsid w:val="00F27A1B"/>
    <w:rsid w:val="00F27D62"/>
    <w:rsid w:val="00F66F3B"/>
    <w:rsid w:val="00F71543"/>
    <w:rsid w:val="00F7633D"/>
    <w:rsid w:val="00F7731E"/>
    <w:rsid w:val="00F83B47"/>
    <w:rsid w:val="00F92450"/>
    <w:rsid w:val="00F96E6E"/>
    <w:rsid w:val="00F97187"/>
    <w:rsid w:val="00FA5435"/>
    <w:rsid w:val="00FB5E09"/>
    <w:rsid w:val="00FB70D2"/>
    <w:rsid w:val="00FB7133"/>
    <w:rsid w:val="00FC38C1"/>
    <w:rsid w:val="00FE1D62"/>
    <w:rsid w:val="00FE52E2"/>
    <w:rsid w:val="00FF174E"/>
    <w:rsid w:val="00FF48B1"/>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DD1B9E6-C26A-4B76-AE8F-8C2B5AE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8"/>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uiPriority w:val="59"/>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5185">
      <w:bodyDiv w:val="1"/>
      <w:marLeft w:val="0"/>
      <w:marRight w:val="0"/>
      <w:marTop w:val="0"/>
      <w:marBottom w:val="0"/>
      <w:divBdr>
        <w:top w:val="none" w:sz="0" w:space="0" w:color="auto"/>
        <w:left w:val="none" w:sz="0" w:space="0" w:color="auto"/>
        <w:bottom w:val="none" w:sz="0" w:space="0" w:color="auto"/>
        <w:right w:val="none" w:sz="0" w:space="0" w:color="auto"/>
      </w:divBdr>
    </w:div>
    <w:div w:id="455830558">
      <w:bodyDiv w:val="1"/>
      <w:marLeft w:val="0"/>
      <w:marRight w:val="0"/>
      <w:marTop w:val="0"/>
      <w:marBottom w:val="0"/>
      <w:divBdr>
        <w:top w:val="none" w:sz="0" w:space="0" w:color="auto"/>
        <w:left w:val="none" w:sz="0" w:space="0" w:color="auto"/>
        <w:bottom w:val="none" w:sz="0" w:space="0" w:color="auto"/>
        <w:right w:val="none" w:sz="0" w:space="0" w:color="auto"/>
      </w:divBdr>
    </w:div>
    <w:div w:id="705105948">
      <w:bodyDiv w:val="1"/>
      <w:marLeft w:val="0"/>
      <w:marRight w:val="0"/>
      <w:marTop w:val="0"/>
      <w:marBottom w:val="0"/>
      <w:divBdr>
        <w:top w:val="none" w:sz="0" w:space="0" w:color="auto"/>
        <w:left w:val="none" w:sz="0" w:space="0" w:color="auto"/>
        <w:bottom w:val="none" w:sz="0" w:space="0" w:color="auto"/>
        <w:right w:val="none" w:sz="0" w:space="0" w:color="auto"/>
      </w:divBdr>
    </w:div>
    <w:div w:id="2130123807">
      <w:bodyDiv w:val="1"/>
      <w:marLeft w:val="0"/>
      <w:marRight w:val="0"/>
      <w:marTop w:val="0"/>
      <w:marBottom w:val="0"/>
      <w:divBdr>
        <w:top w:val="none" w:sz="0" w:space="0" w:color="auto"/>
        <w:left w:val="none" w:sz="0" w:space="0" w:color="auto"/>
        <w:bottom w:val="none" w:sz="0" w:space="0" w:color="auto"/>
        <w:right w:val="none" w:sz="0" w:space="0" w:color="auto"/>
      </w:divBdr>
      <w:divsChild>
        <w:div w:id="1222327687">
          <w:marLeft w:val="0"/>
          <w:marRight w:val="0"/>
          <w:marTop w:val="0"/>
          <w:marBottom w:val="0"/>
          <w:divBdr>
            <w:top w:val="none" w:sz="0" w:space="0" w:color="auto"/>
            <w:left w:val="none" w:sz="0" w:space="0" w:color="auto"/>
            <w:bottom w:val="none" w:sz="0" w:space="0" w:color="auto"/>
            <w:right w:val="none" w:sz="0" w:space="0" w:color="auto"/>
          </w:divBdr>
          <w:divsChild>
            <w:div w:id="2050951317">
              <w:marLeft w:val="0"/>
              <w:marRight w:val="0"/>
              <w:marTop w:val="0"/>
              <w:marBottom w:val="0"/>
              <w:divBdr>
                <w:top w:val="none" w:sz="0" w:space="0" w:color="auto"/>
                <w:left w:val="none" w:sz="0" w:space="0" w:color="auto"/>
                <w:bottom w:val="none" w:sz="0" w:space="0" w:color="auto"/>
                <w:right w:val="none" w:sz="0" w:space="0" w:color="auto"/>
              </w:divBdr>
              <w:divsChild>
                <w:div w:id="203325152">
                  <w:marLeft w:val="0"/>
                  <w:marRight w:val="0"/>
                  <w:marTop w:val="0"/>
                  <w:marBottom w:val="0"/>
                  <w:divBdr>
                    <w:top w:val="none" w:sz="0" w:space="0" w:color="auto"/>
                    <w:left w:val="none" w:sz="0" w:space="0" w:color="auto"/>
                    <w:bottom w:val="none" w:sz="0" w:space="0" w:color="auto"/>
                    <w:right w:val="none" w:sz="0" w:space="0" w:color="auto"/>
                  </w:divBdr>
                  <w:divsChild>
                    <w:div w:id="696350228">
                      <w:marLeft w:val="90"/>
                      <w:marRight w:val="0"/>
                      <w:marTop w:val="0"/>
                      <w:marBottom w:val="0"/>
                      <w:divBdr>
                        <w:top w:val="none" w:sz="0" w:space="0" w:color="auto"/>
                        <w:left w:val="none" w:sz="0" w:space="0" w:color="auto"/>
                        <w:bottom w:val="none" w:sz="0" w:space="0" w:color="auto"/>
                        <w:right w:val="none" w:sz="0" w:space="0" w:color="auto"/>
                      </w:divBdr>
                      <w:divsChild>
                        <w:div w:id="6292721">
                          <w:marLeft w:val="0"/>
                          <w:marRight w:val="0"/>
                          <w:marTop w:val="0"/>
                          <w:marBottom w:val="0"/>
                          <w:divBdr>
                            <w:top w:val="none" w:sz="0" w:space="0" w:color="auto"/>
                            <w:left w:val="none" w:sz="0" w:space="0" w:color="auto"/>
                            <w:bottom w:val="none" w:sz="0" w:space="0" w:color="auto"/>
                            <w:right w:val="none" w:sz="0" w:space="0" w:color="auto"/>
                          </w:divBdr>
                          <w:divsChild>
                            <w:div w:id="1678339670">
                              <w:marLeft w:val="0"/>
                              <w:marRight w:val="0"/>
                              <w:marTop w:val="0"/>
                              <w:marBottom w:val="0"/>
                              <w:divBdr>
                                <w:top w:val="none" w:sz="0" w:space="0" w:color="auto"/>
                                <w:left w:val="none" w:sz="0" w:space="0" w:color="auto"/>
                                <w:bottom w:val="none" w:sz="0" w:space="0" w:color="auto"/>
                                <w:right w:val="none" w:sz="0" w:space="0" w:color="auto"/>
                              </w:divBdr>
                              <w:divsChild>
                                <w:div w:id="849758222">
                                  <w:marLeft w:val="0"/>
                                  <w:marRight w:val="525"/>
                                  <w:marTop w:val="0"/>
                                  <w:marBottom w:val="0"/>
                                  <w:divBdr>
                                    <w:top w:val="none" w:sz="0" w:space="0" w:color="auto"/>
                                    <w:left w:val="none" w:sz="0" w:space="0" w:color="auto"/>
                                    <w:bottom w:val="none" w:sz="0" w:space="0" w:color="auto"/>
                                    <w:right w:val="none" w:sz="0" w:space="0" w:color="auto"/>
                                  </w:divBdr>
                                  <w:divsChild>
                                    <w:div w:id="1210996253">
                                      <w:marLeft w:val="0"/>
                                      <w:marRight w:val="0"/>
                                      <w:marTop w:val="0"/>
                                      <w:marBottom w:val="0"/>
                                      <w:divBdr>
                                        <w:top w:val="none" w:sz="0" w:space="0" w:color="auto"/>
                                        <w:left w:val="none" w:sz="0" w:space="0" w:color="auto"/>
                                        <w:bottom w:val="none" w:sz="0" w:space="0" w:color="auto"/>
                                        <w:right w:val="none" w:sz="0" w:space="0" w:color="auto"/>
                                      </w:divBdr>
                                      <w:divsChild>
                                        <w:div w:id="9507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glocalpensionfu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7B13-49C3-4421-9984-2A73B189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Gorman, Dave</cp:lastModifiedBy>
  <cp:revision>3</cp:revision>
  <cp:lastPrinted>2016-04-13T08:43:00Z</cp:lastPrinted>
  <dcterms:created xsi:type="dcterms:W3CDTF">2016-09-06T08:52:00Z</dcterms:created>
  <dcterms:modified xsi:type="dcterms:W3CDTF">2016-09-06T08:53:00Z</dcterms:modified>
</cp:coreProperties>
</file>